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B5" w:rsidRPr="00C13DB5" w:rsidRDefault="00C13DB5" w:rsidP="00C13DB5">
      <w:pPr>
        <w:keepNext/>
        <w:suppressAutoHyphens/>
        <w:autoSpaceDN w:val="0"/>
        <w:spacing w:before="200" w:after="120" w:line="240" w:lineRule="auto"/>
        <w:textAlignment w:val="baseline"/>
        <w:outlineLvl w:val="1"/>
        <w:rPr>
          <w:rFonts w:ascii="Times New Roman" w:eastAsia="NSimSun" w:hAnsi="Times New Roman" w:cs="Times New Roman"/>
          <w:b/>
          <w:bCs/>
          <w:color w:val="FFFFFF"/>
          <w:kern w:val="3"/>
          <w:sz w:val="28"/>
          <w:szCs w:val="28"/>
          <w:shd w:val="clear" w:color="auto" w:fill="18BC9C"/>
          <w:lang w:eastAsia="zh-CN" w:bidi="hi-IN"/>
        </w:rPr>
      </w:pPr>
      <w:r w:rsidRPr="00C13DB5">
        <w:rPr>
          <w:rFonts w:ascii="Times New Roman" w:eastAsia="NSimSun" w:hAnsi="Times New Roman" w:cs="Times New Roman"/>
          <w:b/>
          <w:bCs/>
          <w:color w:val="FFFFFF"/>
          <w:kern w:val="3"/>
          <w:sz w:val="28"/>
          <w:szCs w:val="28"/>
          <w:shd w:val="clear" w:color="auto" w:fill="18BC9C"/>
          <w:lang w:eastAsia="zh-CN" w:bidi="hi-IN"/>
        </w:rPr>
        <w:t>Учет в области обращения с отходами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val="en-US" w:eastAsia="zh-CN" w:bidi="hi-IN"/>
        </w:rPr>
        <w:t>           </w:t>
      </w:r>
      <w:r w:rsidRPr="00C13DB5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Учету</w:t>
      </w:r>
      <w:r w:rsidRPr="00C13DB5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в области обращения с отходами подлежат</w:t>
      </w:r>
    </w:p>
    <w:p w:rsidR="00C13DB5" w:rsidRPr="00C13DB5" w:rsidRDefault="00C13DB5" w:rsidP="00C13DB5">
      <w:pPr>
        <w:suppressAutoHyphens/>
        <w:autoSpaceDN w:val="0"/>
        <w:spacing w:after="0" w:line="288" w:lineRule="auto"/>
        <w:ind w:left="54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все виды отходов 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en-US" w:eastAsia="zh-CN" w:bidi="hi-IN"/>
        </w:rPr>
        <w:t>I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-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en-US" w:eastAsia="zh-CN" w:bidi="hi-IN"/>
        </w:rPr>
        <w:t>V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классов опасности, которые образуют юридические лица, индивидуальные предприниматели;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ind w:left="54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все виды отходов 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en-US" w:eastAsia="zh-CN" w:bidi="hi-IN"/>
        </w:rPr>
        <w:t>I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-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en-US" w:eastAsia="zh-CN" w:bidi="hi-IN"/>
        </w:rPr>
        <w:t>V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Организация учета образовавшихся, обработанных, утилизированных, обезвреженных, переданных другим лицам или полученных от других лиц, размещенных отходах включает:</w:t>
      </w:r>
    </w:p>
    <w:p w:rsidR="00C13DB5" w:rsidRPr="00C13DB5" w:rsidRDefault="00C13DB5" w:rsidP="00C13DB5">
      <w:pPr>
        <w:suppressAutoHyphens/>
        <w:autoSpaceDN w:val="0"/>
        <w:spacing w:after="0" w:line="288" w:lineRule="auto"/>
        <w:ind w:left="54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инвентаризацию образующихся отходов;</w:t>
      </w:r>
    </w:p>
    <w:p w:rsidR="00C13DB5" w:rsidRPr="00C13DB5" w:rsidRDefault="00C13DB5" w:rsidP="00C13DB5">
      <w:pPr>
        <w:suppressAutoHyphens/>
        <w:autoSpaceDN w:val="0"/>
        <w:spacing w:after="0" w:line="288" w:lineRule="auto"/>
        <w:ind w:left="54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инвентаризацию мест (площадок) накопления образующихся и полученных от других лиц отходов;</w:t>
      </w:r>
    </w:p>
    <w:p w:rsidR="00C13DB5" w:rsidRPr="00C13DB5" w:rsidRDefault="00C13DB5" w:rsidP="00C13DB5">
      <w:pPr>
        <w:suppressAutoHyphens/>
        <w:autoSpaceDN w:val="0"/>
        <w:spacing w:after="0" w:line="288" w:lineRule="auto"/>
        <w:ind w:left="54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инвентаризацию объектов, на которых осуществляется обработка, утилизация, обезвреживание отходов;</w:t>
      </w:r>
    </w:p>
    <w:p w:rsidR="00C13DB5" w:rsidRPr="00C13DB5" w:rsidRDefault="00C13DB5" w:rsidP="00C13DB5">
      <w:pPr>
        <w:suppressAutoHyphens/>
        <w:autoSpaceDN w:val="0"/>
        <w:spacing w:after="0" w:line="288" w:lineRule="auto"/>
        <w:ind w:left="54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инвентаризацию объектов размещения отходов;</w:t>
      </w:r>
    </w:p>
    <w:p w:rsidR="00C13DB5" w:rsidRPr="00C13DB5" w:rsidRDefault="00C13DB5" w:rsidP="00C13DB5">
      <w:pPr>
        <w:suppressAutoHyphens/>
        <w:autoSpaceDN w:val="0"/>
        <w:spacing w:after="0" w:line="288" w:lineRule="auto"/>
        <w:ind w:left="54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разработку и утверждение организационных документов, определяющих лиц, ответственных за учет в области обращения с отходами в структурных подразделениях, по объекту НВОС и (или) юридическому лицу, индивидуальному предпринимателю в целом;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ind w:left="54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разработку и утверждение документов по учету образования и обращения с отходами в структурных подразделениях.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Инвентаризация образующихся отходов проводится в плановом порядке не реже одного раза в пять лет или внепланово в случае </w:t>
      </w:r>
      <w:proofErr w:type="gramStart"/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изменения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технологических</w:t>
      </w:r>
      <w:proofErr w:type="gramEnd"/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процессов производств, сырья, если эти изменения приводят к изменениям в перечне образующихся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отходов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Основные нюансы: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учету подлежат абсолютно все образующиеся отходы;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учет отходов необходимо вести всем ЮЛ, ИП, у которых образуются отходы. А отходы образуются у всех ЮЛ и ИП... Напоминаю, про штрафы за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отсутствие данных учета;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lastRenderedPageBreak/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не ведется журнал учета отходов по следующим видам отходов: радиоактивные отходы, биологические отходы, медицинские отходы,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 журнале учета отходов не учитываются выбросы вредных веществ в атмосферу (не путать с уловленной пылью от циклонов (ГОУ),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сбросы вредных веществ в составе сточных вод в водные объекты, вещества, разрушающие озоновый слой (исключение: вещества, являющиеся частью продукции, утратившие потребительские свойства).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для объектов 1-4 категории - учет ведется по каждому объекту + дополнительно по ЮЛ или ИП в целом;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для </w:t>
      </w:r>
      <w:proofErr w:type="spellStart"/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безкатегорийного</w:t>
      </w:r>
      <w:proofErr w:type="spellEnd"/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объекта - учет ведется в целом по ЮЛ или ИП;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учет производится по фактическому количеству образования и дальнейшего обращения с отходами. В случае отсутствия средств для проведения измерения фактического количества образования и т.д. отходов, можно осуществлять учет расчетным методом, в котором используется информация из технической (технологической) документации, данные учета рабочего времени, бухгалтерского учета, нормативов образования отходов, вместимость мест накопления отходов, мощности объектов для обращения с отходами и иные данные.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учет отходов можно вести как на электронном носителе, так и на бумажном носителе.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допускается округление значения количества отходов: для отходов 4 и 5 классов опасности - до 0,0 т; для отходов 1,2,3 классов опасности - 0,000 т.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Результаты учета отходов являются основой для: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расчета нормативов образования отходов и лимитов на их размещение;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отчета об организации и о результатах осуществления производственного экологического контроля;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отчета 2-ТП (отходы);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расчета платы за негативное воздействие на ОС.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Учет отходов должен включать в себя учет образующихся отходов в том числе местах накопления отходов, на объектах капитального строительства, на которых осуществляется обработка, утилизация, обезвреживание отходов, на объектах размещения отходов, переданных другим лицам или полученных от других лиц.</w:t>
      </w:r>
    </w:p>
    <w:p w:rsidR="00C13DB5" w:rsidRPr="00C13DB5" w:rsidRDefault="00C13DB5" w:rsidP="00C13DB5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ПОРЯДОК УЧЕТА В ОБЛАСТИ ОБРАЩЕНИЯ С ОТХОДАМИ.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Утвержден приказом Минприроды России от 08.12.2020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1028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lastRenderedPageBreak/>
        <w:t> 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1. Порядок учета в области обращения с отходами (далее - Порядок) устанавливает требования к организации и ведению юридическими лицами и индивидуальными предпринимателями, осуществляющими деятельность в области обращения с отходами,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2. Действие настоящего Порядка не распространяется на ведение учета в области обращения с радиоактивными отходами, с биологическими отходами, с медицинскими отходами, с выбросами вредных веществ в атмосферу, со сбросами вредных веществ в составе сточных вод в водные объекты, с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3. Учет в области обращения с отходами ведется отдельно по каждому объекту, оказывающему негативное воздействие на окружающую среду,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категории (далее - объекты НВОС), и (или) по юридическому лицу, индивидуальному предпринимателю в целом.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4. Учету в области обращения с отходами подлежат: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все виды отходов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классов опасности, которые образуют юридические лица, индивидуальные предприниматели;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все виды отходов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5. Материалы учета являются информацией в области обращения с отходами и используются при: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обосновании нормативов образования отходов и лимитов на их размещение;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подготовке отчета об организации и о результатах осуществления производственного экологического контроля;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заполнении формы федерального статистического наблюдения в области обращения с отходами;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расчете платы за негативное воздействие на окружающую среду (в части размещения отходов).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6. Организация учета образовавшихся, обработанных, утилизированных, обезвреженных, переданных другим лицам или полученных от других лиц, а также размещенных отходов обеспечивается индивидуальными предпринимателями и юридическими лицами и включает в себя учет образующихся отходов, в том числе в местах (на площадках) накопления, на объектах капитального строительства и (или) других объектах или их совокупности, на которых осуществляется обработка, утилизация, обезвреживание отходов, на объектах размещения отходов, переданных другим лицам или полученных от других лиц.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7. При организации учета образующихся отходов индивидуальными предпринимателями и юридическими лицами: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выявляются вещества, материалы, которые образовались при производстве продукции, выполнении работ, оказании услуг, в том числе при газоочистке, очистке сточных и оборотных вод, очистке оборудования, территории, ликвидации загрязнений;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выявляются изделия, которые утратили потребительские свойства при их использовании для производства продукции, выполнения работ, оказания услуг;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проводятся паспортизация отходов и отнесение отходов к конкретному классу опасности в порядке подтверждения отнесения отходов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классов опасности к конкретному классу опасности, установленном Минприроды России &lt;1&gt;.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 результатам учета отходов формируется состав образующихся видов отходов, подлежащих учету, который включает в себя: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наименование вида отхода;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код по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5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ФККО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класс опасности вида отхода;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происхождение и условия образования вида отхода;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агрегатное состояние и физическую форму вида отхода;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химический и (или) компонентный состав вида отхода.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Рекомендуемый образец состава образующихся видов отходов, подлежащих учету, приведен 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6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 xml:space="preserve">приложении </w:t>
        </w:r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val="en-US" w:eastAsia="zh-CN" w:bidi="hi-IN"/>
          </w:rPr>
          <w:t>N</w:t>
        </w:r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 xml:space="preserve"> 1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 настоящему Порядку.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 оформлении состава образующихся видов отходов, подлежащих учету: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7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столбцах 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8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1 (таблица 1) к настоящему Порядку указываются наименование вида отходов и код в соответствии с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9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ФККО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Для отходов, не включенных 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10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ФККО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указывается класс опасности, определенный в соответствии с порядком отнесения отходов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классов опасности к конкретному классу опасности, устанавливаемым Министерством природных ресурсов и экологии Российской Федерации, а также реквизиты письма хозяйствующего субъекта, направленного в территориальный орган </w:t>
      </w:r>
      <w:proofErr w:type="spellStart"/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Росприроднадзора</w:t>
      </w:r>
      <w:proofErr w:type="spellEnd"/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для подтверждения отнесения вида отходов к конкретному классу опасности для окружающей среды;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11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столбце 5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1 (таблица 1) к настоящему Порядку указывается происхождение или условия образования отходов производства, которые определяются по принадлежности к определенному производству, технологическому процессу: происхождение отходов потребления определяется по принадлежности к продукции, в результате утраты потребительских свойств которой они произошли;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12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столбце 6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1 (таблица 1) к настоящему Порядку указываются агрегатное состояние и физическая форма отходов, которые определяются с учетом приложения к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13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Порядку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ведения государственного кадастра отходов, утвержденного приказом Минприроды России от 30.09.2011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792 "Об утверждении Порядка ведения государственного кадастра отходов" &lt;4&gt;.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14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столбце 7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1 (таблица 1) к настоящему Порядку указывается химический и (или) компонентный состав отходов, который устанавливается на основании сведений, содержащихся в технологических регламентах, технических условиях, стандартах, проектной документации. В случае отсутствия сведений о химическом и (или) компетентном составе отходов в указанной документации, химический и (или) компонентный состав вида отходов устанавливается по результатам количественных химических анализов, выполняемых с соблюдением установленных законодательством Российской Федерации об обеспечении единства измерений требований к измерениям и средствам измерений. Допускается использование одновременно обоих способов для определения состава отходов.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8. Учет в области обращения с отходами ведется на основании измерений фактического количества образованных,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В случае отсутствия средств для проведения измерения фактического количества образованных, обработанных, утилизированных, обезвреженных, переданных другим лицам или полученных от других лиц, а также размещенных отходов, учет ведется с использованием расчетного метода, в котором используются сведения из технической и технологической документации, данные учета рабочего времени, результаты бухгалтерского учета, показатели нормативов образования отходов, вместимость мест (площадок) накопления отходов, мощности объектов обработки, утилизации, обезвреживания отходов и их загрузка, иные данные, характеризующие деятельность, связанную с образованием и обращением с отходами, на основании которых может быть рассчитано количество образованных,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Документами, подтверждающими количество переданных другим лицам или полученных от других лиц отходов, являются договоры, акты приема-передачи и акты выполненных работ, а также другие документы, подтверждающие проведение сделки об отчуждении отходов.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9. Учет образовавшихся, обработанных, утилизированных, обезвреженных, переданных другим лицам или полученных от других лиц, а также размещенных отходов осуществляется по мере образования, обработки, утилизации, обезвреживания отходов, передачи отходов другим лицам или получения отходов от других лиц, а также размещения отходов.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Учет ведется в электронном виде или на бумажном носителе. Ведение учета в электронном виде осуществляется при условии, что все содержащиеся в нем учетные записи в целях обеспечения их сохранности продублированы на электронных носителях информации, и имеется возможность для выведения этих записей на бумажный носитель.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10. Все значения количества отходов учитываются по массе отходов в тоннах и округляются: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 точностью до одного знака после запятой - для отходов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классов опасности;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 точностью до трех знаков после запятой - для отходов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II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III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классов опасности.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11. Данные учета обобщаются по итогам очередного календарного года (по состоянию на 1 января года, следующего за учетным) в срок не позднее 25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января года, следующего за отчетным периодом. Обобщение данных учета осуществляется отдельно по каждому объекту НВОС, и (или) по юридическому лицу, индивидуальному предпринимателю в целом в табличной форме.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Рекомендуемые образцы обобщенных данных учета в области обращения с отходами и данных учета переданных другим лицам или полученных от других лиц отходов приведены 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15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 xml:space="preserve">приложениях </w:t>
        </w:r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val="en-US" w:eastAsia="zh-CN" w:bidi="hi-IN"/>
          </w:rPr>
          <w:t>N</w:t>
        </w:r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 xml:space="preserve"> 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16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val="en-US" w:eastAsia="zh-CN" w:bidi="hi-IN"/>
          </w:rPr>
          <w:t>N</w:t>
        </w:r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 xml:space="preserve"> 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 настоящему Порядку.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12. Обобщенные данные учета в области обращения с отходами по итогам календарного года включают в себя: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а) титульный лист, оформляемый в свободной форме;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б) сводные данные учета отходов, оформляемые в соответствии с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17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 xml:space="preserve">приложениями </w:t>
        </w:r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val="en-US" w:eastAsia="zh-CN" w:bidi="hi-IN"/>
          </w:rPr>
          <w:t>N</w:t>
        </w:r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 xml:space="preserve"> 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(таблица 2) 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18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val="en-US" w:eastAsia="zh-CN" w:bidi="hi-IN"/>
          </w:rPr>
          <w:t>N</w:t>
        </w:r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 xml:space="preserve"> 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(таблица 3) к настоящему Порядку по итогам очередного квартала и очередного календарного года.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13. При оформлении обобщенных данных учета в области обращения с отходами и данных учета переданных другим лицам или полученных от других лиц отходов: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каждой заполняемой строке таблиц данных учета в столбцах указываются значения количества отходов или, при их отсутствии, - ноль;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для каждого вида отходов выделяется отдельная строка. Строки нумеруются сквозной нумерацией;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hyperlink r:id="rId19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столбцы 1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20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 (таблица 2) к настоящему Порядку заполняются аналогично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21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столбцам 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22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1 (таблица 1) к настоящему Порядку;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23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столбцах 4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24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5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 (таблица 2) к настоящему Порядку указывается количество отходов, находящихся на объекте хранения, месте (площадке) накопления на начало отчетного периода. 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25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столбце 8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 (таблица 2) к настоящему Порядку указывается количество обработанных отходов в отчетном периоде. 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26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столбцах 13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27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14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 (таблица 2) к настоящему Порядку указывается количество отходов, направленных на объекты хранения и (или) захоронения, находящиеся в собственности, владении, пользовании лица, ведущего учет в области обращения с отходами, в течение отчетного периода;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28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столбцах 15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29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16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 (таблица 2) к настоящему Порядку указывается количество отходов, находящихся на объекте хранения, месте накопления, находящихся в собственности, владении, пользовании лица, ведущего учет в области обращения с отходами, на конец отчетного периода;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hyperlink r:id="rId30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столбцы 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31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3 (таблица 3) к настоящему Порядку заполняются аналогично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32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столбцам 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33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1 (таблица 1) к настоящему Порядку. Если отходы переданы индивидуальным предпринимателям или юридическим лицам, 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34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столбце 11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3 (таблица 3) к настоящему Порядку указываются: для юридических лиц - наименование организации, идентификационный номер налогоплательщика (далее - ИНН), адрес места нахождения; для индивидуальных предпринимателей - фамилия, имя и отчество (при наличии), место жительства, ИНН; в случае передачи отходов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класса опасности гражданам - место проживания граждан (населенный пункт);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35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столбце 13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3 (таблица 3) к настоящему Порядку данные о договоре указываются по состоянию на дату обобщения сведений по обращению с отходами. В случае передачи отходов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класса опасности гражданам 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36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столбце 12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3 (таблица 3) к настоящему Порядку указываются названия и реквизиты документов, на основании которых были переданы отходы (например, реквизиты заявления гражданина, приказ по юридическому лицу, индивидуальному предпринимателю).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случае передачи отходов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класса опасности гражданам 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37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столбце 13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3 (таблица 3) к настоящему Порядку ставится прочерк.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hyperlink r:id="rId38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Столбец 14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3 (таблица 3) к настоящему Порядку заполняется при передаче отходов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классов опасности. 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39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столбце 14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3 (таблица 3) к настоящему Порядку указываются номер и дата выдачи лицензии на осуществление деятельности по сбору, транспортированию, обработке, утилизации, обезвреживанию, размещению отходов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IV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классов опасности, лица, которому переданы отходы; для лицензий, предоставленных после 01.01.2021, указываются регистрационный номер лицензии и дата внесения в реестр лицензий записи о предоставлении лицензии.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hyperlink r:id="rId40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Столбцы 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41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3 (таблица 4) к настоящему Порядку заполняются аналогично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42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столбцам 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43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1 (таблица 1) к настоящему Порядку.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44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Столбец 7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3 (таблица 4) к настоящему Порядку заполняется, если отходы получены только с целью их обработки.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Если отходы получены от индивидуального предпринимателя или юридического лица, 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45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столбце 12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3 (таблица 4) к настоящему Порядку указываются: для юридических лиц - наименование организации, ИНН, адрес места нахождения; для индивидуальных предпринимателей - фамилия, имя и отчество (при наличии), место жительства, ИНН; если отходы (кроме твердых коммунальных отходов) получены от граждан - наименование населенных пунктов, Общероссийский классификатор территорий муниципальных образований; в случае приема твердых коммунальных отходов от населения - территория, с которой осуществляется сбор твердых коммунальных отходов (данные, позволяющие идентифицировать место сбора твердых коммунальных отходов).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46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столбцах 12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47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13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48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14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приложения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3 (таблица 4) к настоящему Порядку указываются реквизиты договоров на передачу отходов. Если отходы (кроме твердых коммунальных отходов) получены от граждан, указывается форма сделки об отчуждении отходов (например, публичная оферта); в случае приема твердых коммунальных отходов от населения указывается вид договора "договор на оказание услуг по обращению с твердыми коммунальными отходами" без указания реквизитов.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14. В случае ведения учета в электронном виде обобщенные данные учета по итогам календарного года выводятся на бумажный носитель с соблюдением требований, указанных в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49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пунктах 12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hyperlink r:id="rId50" w:history="1">
        <w:r w:rsidRPr="00C13DB5">
          <w:rPr>
            <w:rFonts w:ascii="Times New Roman" w:eastAsia="SimSun" w:hAnsi="Times New Roman" w:cs="Times New Roman"/>
            <w:color w:val="18BC9C"/>
            <w:kern w:val="3"/>
            <w:sz w:val="28"/>
            <w:szCs w:val="28"/>
            <w:lang w:eastAsia="zh-CN" w:bidi="hi-IN"/>
          </w:rPr>
          <w:t>13</w:t>
        </w:r>
      </w:hyperlink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настоящего Порядка. Исправление ошибок в данных учета как в случае его ведения на бумажном носителе, так и в случае ведения в электронном виде с выводом записей на бумажный носитель подтверждается подписью должностного лица, ответственного за ведение учета в области обращения с отходами.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Обобщенные данные учета по итогам календарного года на бумажном носителе заверяются подписью должностного лица, ответственного за ведение учета в области обращения с отходами отдельно по каждому объекту НВОС, и (или) по юридическому лицу, индивидуальному предпринимателю в целом.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15. Индивидуальные предприниматели и юридические лица обеспечивают полноту, непрерывность и достоверность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16. Обобщенные данные учета в области обращения с отходами по итогам календарного года и документы, подтверждающие достоверность этих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данных, хранятся индивидуальными предпринимателями и юридическими лицами в электронном и (или) бумажном виде в течение пяти лет с момента их формирования.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13DB5" w:rsidRPr="00C13DB5" w:rsidRDefault="00775483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</w:t>
      </w:r>
      <w:r w:rsidR="00C13DB5"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едение журнала на отходы не представляет никакой сложности.</w:t>
      </w:r>
      <w:r w:rsidR="00C13DB5"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="00C13DB5"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Сложность представляет именно учет по мере образования, обработки, утилизации, передачи, захоронения.... По сути на больших предприятиях - это огромная работа. Надо запомнить: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обобщение учета должно происходить не позднее 25 января.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журнал по отходам ведется в тоннах - отходы 1, 2 ,3 классов опасности должны быть показаны с точностью до трех знаков после запятой, отходы 4 и 5 классов опасности с точностью до 1 знака после запятой;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если образование конкретного отхода не произошло в указанный период - в строке ставится "0", наименование отхода пишется в обязательном порядке;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отходы суммируются по классам опасности и в целом;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учет ведется в целом по предприятию, и по объектам негативного воздействия на ОС 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Помните, что учет в области обращения с отходами для надзорных органов очень часто является доказательной базой для описания нарушения.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Данные учета должны перекликаться с другими отчетами предприятия в области обращения с отходами.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 надзорных мероприятиях - имеют право запросить у вас данные учета за последние 5 лет!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Если надзор при осмотре территории предприятия обнаружил и зафиксировал факт образования отхода, а в данных учета данного отхода нет - это является составом нарушения.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случае, если у вас в данных учета присутствует отход 1- 4 класса опасности, но паспорт на отход вы предоставить не можете - это также будет являться нарушением.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Если вы предприятие 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II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категории НВОС, расчет нормативов образования отходов и лимитов на их размещение вы делаете на основании данных учета.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Если по данным учета отслеживается, что у вас происходит накопление отхода более 11 месяцев, это также будет являться нарушением. Своевременно осуществляйте передачу отходов!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Если вы в ходе проверки предоставили акт выполненных работ на передачу отхода, а в данных учета образование этого отхода не зафиксировано, то это нарушение.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самом деле по указанному учету привлечь проще всего, поскольку должностные лица часто невнимательно его заполняют, не учитывают все нюансы.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Ответственность за неведение журнала по отходам, за недостоверный учет в области обращения с отходами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ИП и ЮЛ должны обеспечивать полноту, непрерывность и достоверность учета отходов.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Привлечь к административной ответственности Ваше предприятие могут не только за неведение учета образовавшихся отходов, но и за ведение недостоверного учета...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Недостоверность учета образовавшихся отходов:</w:t>
      </w:r>
    </w:p>
    <w:p w:rsidR="00C13DB5" w:rsidRPr="00C13DB5" w:rsidRDefault="00C13DB5" w:rsidP="00C13DB5">
      <w:p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не все наименования образующихся отходов представлены в журнале учета образовавшихся отходов,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количество образующихся отходов по актам-приема передачи отходов (выполненных работ) не совпадает с заполненным журналом учета отходов,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  </w:t>
      </w:r>
      <w:r w:rsidRPr="00C13D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если на момент проверки зафиксировано накопление отхода, а образование этого (или его накопление) отхода не представлено в журнале учета отходов.</w:t>
      </w:r>
    </w:p>
    <w:p w:rsidR="00E719BA" w:rsidRDefault="00E719BA">
      <w:bookmarkStart w:id="0" w:name="_GoBack"/>
      <w:bookmarkEnd w:id="0"/>
    </w:p>
    <w:sectPr w:rsidR="00E7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OpenSymbol">
    <w:charset w:val="02"/>
    <w:family w:val="auto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45"/>
    <w:rsid w:val="00761245"/>
    <w:rsid w:val="00775483"/>
    <w:rsid w:val="00C13DB5"/>
    <w:rsid w:val="00E7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D869"/>
  <w15:chartTrackingRefBased/>
  <w15:docId w15:val="{C830D3AB-7515-4996-9584-64ECF0DE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rsid w:val="00C13DB5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2">
    <w:name w:val="heading 2"/>
    <w:basedOn w:val="Heading"/>
    <w:next w:val="Textbody"/>
    <w:link w:val="20"/>
    <w:rsid w:val="00C13DB5"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3">
    <w:name w:val="heading 3"/>
    <w:basedOn w:val="Heading"/>
    <w:next w:val="Textbody"/>
    <w:link w:val="30"/>
    <w:rsid w:val="00C13DB5"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paragraph" w:styleId="4">
    <w:name w:val="heading 4"/>
    <w:basedOn w:val="Heading"/>
    <w:next w:val="Textbody"/>
    <w:link w:val="40"/>
    <w:rsid w:val="00C13DB5"/>
    <w:pPr>
      <w:spacing w:before="120"/>
      <w:outlineLvl w:val="3"/>
    </w:pPr>
    <w:rPr>
      <w:rFonts w:ascii="Liberation Serif" w:eastAsia="NSimSun" w:hAnsi="Liberation Serif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DB5"/>
    <w:rPr>
      <w:rFonts w:ascii="Liberation Serif" w:eastAsia="NSimSun" w:hAnsi="Liberation Serif" w:cs="Arial"/>
      <w:b/>
      <w:bCs/>
      <w:kern w:val="3"/>
      <w:sz w:val="48"/>
      <w:szCs w:val="48"/>
      <w:lang w:val="en-US" w:eastAsia="zh-CN" w:bidi="hi-IN"/>
    </w:rPr>
  </w:style>
  <w:style w:type="character" w:customStyle="1" w:styleId="20">
    <w:name w:val="Заголовок 2 Знак"/>
    <w:basedOn w:val="a0"/>
    <w:link w:val="2"/>
    <w:rsid w:val="00C13DB5"/>
    <w:rPr>
      <w:rFonts w:ascii="Liberation Serif" w:eastAsia="NSimSun" w:hAnsi="Liberation Serif" w:cs="Arial"/>
      <w:b/>
      <w:bCs/>
      <w:kern w:val="3"/>
      <w:sz w:val="36"/>
      <w:szCs w:val="36"/>
      <w:lang w:val="en-US" w:eastAsia="zh-CN" w:bidi="hi-IN"/>
    </w:rPr>
  </w:style>
  <w:style w:type="character" w:customStyle="1" w:styleId="30">
    <w:name w:val="Заголовок 3 Знак"/>
    <w:basedOn w:val="a0"/>
    <w:link w:val="3"/>
    <w:rsid w:val="00C13DB5"/>
    <w:rPr>
      <w:rFonts w:ascii="Liberation Serif" w:eastAsia="NSimSun" w:hAnsi="Liberation Serif" w:cs="Arial"/>
      <w:b/>
      <w:bCs/>
      <w:kern w:val="3"/>
      <w:sz w:val="28"/>
      <w:szCs w:val="28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C13DB5"/>
    <w:rPr>
      <w:rFonts w:ascii="Liberation Serif" w:eastAsia="NSimSun" w:hAnsi="Liberation Serif" w:cs="Arial"/>
      <w:b/>
      <w:bCs/>
      <w:kern w:val="3"/>
      <w:sz w:val="24"/>
      <w:szCs w:val="24"/>
      <w:lang w:val="en-US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C13DB5"/>
  </w:style>
  <w:style w:type="paragraph" w:customStyle="1" w:styleId="Standard">
    <w:name w:val="Standard"/>
    <w:rsid w:val="00C13D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C13D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13DB5"/>
    <w:pPr>
      <w:spacing w:after="140" w:line="288" w:lineRule="auto"/>
    </w:pPr>
  </w:style>
  <w:style w:type="paragraph" w:styleId="a3">
    <w:name w:val="List"/>
    <w:basedOn w:val="Textbody"/>
    <w:rsid w:val="00C13DB5"/>
  </w:style>
  <w:style w:type="paragraph" w:styleId="a4">
    <w:name w:val="caption"/>
    <w:basedOn w:val="Standard"/>
    <w:rsid w:val="00C13D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3DB5"/>
    <w:pPr>
      <w:suppressLineNumbers/>
    </w:pPr>
  </w:style>
  <w:style w:type="paragraph" w:customStyle="1" w:styleId="TableContents">
    <w:name w:val="Table Contents"/>
    <w:basedOn w:val="Standard"/>
    <w:rsid w:val="00C13DB5"/>
    <w:pPr>
      <w:widowControl w:val="0"/>
      <w:suppressLineNumbers/>
    </w:pPr>
  </w:style>
  <w:style w:type="paragraph" w:customStyle="1" w:styleId="TableHeading">
    <w:name w:val="Table Heading"/>
    <w:basedOn w:val="TableContents"/>
    <w:rsid w:val="00C13DB5"/>
    <w:pPr>
      <w:jc w:val="center"/>
    </w:pPr>
    <w:rPr>
      <w:b/>
      <w:bCs/>
    </w:rPr>
  </w:style>
  <w:style w:type="character" w:customStyle="1" w:styleId="StrongEmphasis">
    <w:name w:val="Strong Emphasis"/>
    <w:rsid w:val="00C13DB5"/>
    <w:rPr>
      <w:b/>
      <w:bCs/>
    </w:rPr>
  </w:style>
  <w:style w:type="character" w:customStyle="1" w:styleId="Internetlink">
    <w:name w:val="Internet link"/>
    <w:rsid w:val="00C13DB5"/>
    <w:rPr>
      <w:color w:val="000080"/>
      <w:u w:val="single"/>
    </w:rPr>
  </w:style>
  <w:style w:type="character" w:customStyle="1" w:styleId="BulletSymbols">
    <w:name w:val="Bullet Symbols"/>
    <w:rsid w:val="00C13DB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13DB5"/>
  </w:style>
  <w:style w:type="character" w:styleId="a5">
    <w:name w:val="Emphasis"/>
    <w:rsid w:val="00C13D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21841/8acb6b7b6052cf0d61f29849b7cedd3842f9063b/#dst100013" TargetMode="External"/><Relationship Id="rId18" Type="http://schemas.openxmlformats.org/officeDocument/2006/relationships/hyperlink" Target="http://www.consultant.ru/document/cons_doc_LAW_372204/167493bd22544c65d93af5e3ebdddfe255a497ef/#dst100143" TargetMode="External"/><Relationship Id="rId26" Type="http://schemas.openxmlformats.org/officeDocument/2006/relationships/hyperlink" Target="http://www.consultant.ru/document/cons_doc_LAW_372204/113ad847f0ab062e2349b906aa47b354728ae7ff/#dst100136" TargetMode="External"/><Relationship Id="rId39" Type="http://schemas.openxmlformats.org/officeDocument/2006/relationships/hyperlink" Target="http://www.consultant.ru/document/cons_doc_LAW_372204/167493bd22544c65d93af5e3ebdddfe255a497ef/#dst100172" TargetMode="External"/><Relationship Id="rId21" Type="http://schemas.openxmlformats.org/officeDocument/2006/relationships/hyperlink" Target="http://www.consultant.ru/document/cons_doc_LAW_372204/8cb8a5784a8baa8ed38d70c107b4fc9fa2f92250/#dst100090" TargetMode="External"/><Relationship Id="rId34" Type="http://schemas.openxmlformats.org/officeDocument/2006/relationships/hyperlink" Target="http://www.consultant.ru/document/cons_doc_LAW_372204/167493bd22544c65d93af5e3ebdddfe255a497ef/#dst100169" TargetMode="External"/><Relationship Id="rId42" Type="http://schemas.openxmlformats.org/officeDocument/2006/relationships/hyperlink" Target="http://www.consultant.ru/document/cons_doc_LAW_372204/8cb8a5784a8baa8ed38d70c107b4fc9fa2f92250/#dst100090" TargetMode="External"/><Relationship Id="rId47" Type="http://schemas.openxmlformats.org/officeDocument/2006/relationships/hyperlink" Target="http://www.consultant.ru/document/cons_doc_LAW_372204/e693a8c8dd2ea68bdd9711f825a2c7f4b85ca1e0/#dst100202" TargetMode="External"/><Relationship Id="rId50" Type="http://schemas.openxmlformats.org/officeDocument/2006/relationships/hyperlink" Target="http://www.consultant.ru/document/cons_doc_LAW_372204/c71cafa83381d8645d299b821bf4a49f483b6c60/#dst100061" TargetMode="External"/><Relationship Id="rId7" Type="http://schemas.openxmlformats.org/officeDocument/2006/relationships/hyperlink" Target="http://www.consultant.ru/document/cons_doc_LAW_372204/8cb8a5784a8baa8ed38d70c107b4fc9fa2f92250/#dst10009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2204/f069b8d3c9f1e9ad89403252d2961afe1993d3c0/#dst100142" TargetMode="External"/><Relationship Id="rId29" Type="http://schemas.openxmlformats.org/officeDocument/2006/relationships/hyperlink" Target="http://www.consultant.ru/document/cons_doc_LAW_372204/113ad847f0ab062e2349b906aa47b354728ae7ff/#dst100139" TargetMode="External"/><Relationship Id="rId11" Type="http://schemas.openxmlformats.org/officeDocument/2006/relationships/hyperlink" Target="http://www.consultant.ru/document/cons_doc_LAW_372204/8cb8a5784a8baa8ed38d70c107b4fc9fa2f92250/#dst100093" TargetMode="External"/><Relationship Id="rId24" Type="http://schemas.openxmlformats.org/officeDocument/2006/relationships/hyperlink" Target="http://www.consultant.ru/document/cons_doc_LAW_372204/113ad847f0ab062e2349b906aa47b354728ae7ff/#dst100114" TargetMode="External"/><Relationship Id="rId32" Type="http://schemas.openxmlformats.org/officeDocument/2006/relationships/hyperlink" Target="http://www.consultant.ru/document/cons_doc_LAW_372204/8cb8a5784a8baa8ed38d70c107b4fc9fa2f92250/#dst100090" TargetMode="External"/><Relationship Id="rId37" Type="http://schemas.openxmlformats.org/officeDocument/2006/relationships/hyperlink" Target="http://www.consultant.ru/document/cons_doc_LAW_372204/167493bd22544c65d93af5e3ebdddfe255a497ef/#dst100171" TargetMode="External"/><Relationship Id="rId40" Type="http://schemas.openxmlformats.org/officeDocument/2006/relationships/hyperlink" Target="http://www.consultant.ru/document/cons_doc_LAW_372204/e693a8c8dd2ea68bdd9711f825a2c7f4b85ca1e0/#dst100191" TargetMode="External"/><Relationship Id="rId45" Type="http://schemas.openxmlformats.org/officeDocument/2006/relationships/hyperlink" Target="http://www.consultant.ru/document/cons_doc_LAW_372204/e693a8c8dd2ea68bdd9711f825a2c7f4b85ca1e0/#dst100201" TargetMode="External"/><Relationship Id="rId5" Type="http://schemas.openxmlformats.org/officeDocument/2006/relationships/hyperlink" Target="http://www.consultant.ru/document/cons_doc_LAW_400556/3d063ec1103c03931fe1e4c4f3eb9382b9fd7db4/#dst100019" TargetMode="External"/><Relationship Id="rId15" Type="http://schemas.openxmlformats.org/officeDocument/2006/relationships/hyperlink" Target="http://www.consultant.ru/document/cons_doc_LAW_372204/c00c6d28a24c5e5c03ce5c1042e35b88337e46e7/#dst100098" TargetMode="External"/><Relationship Id="rId23" Type="http://schemas.openxmlformats.org/officeDocument/2006/relationships/hyperlink" Target="http://www.consultant.ru/document/cons_doc_LAW_372204/113ad847f0ab062e2349b906aa47b354728ae7ff/#dst100113" TargetMode="External"/><Relationship Id="rId28" Type="http://schemas.openxmlformats.org/officeDocument/2006/relationships/hyperlink" Target="http://www.consultant.ru/document/cons_doc_LAW_372204/113ad847f0ab062e2349b906aa47b354728ae7ff/#dst100138" TargetMode="External"/><Relationship Id="rId36" Type="http://schemas.openxmlformats.org/officeDocument/2006/relationships/hyperlink" Target="http://www.consultant.ru/document/cons_doc_LAW_372204/167493bd22544c65d93af5e3ebdddfe255a497ef/#dst100170" TargetMode="External"/><Relationship Id="rId49" Type="http://schemas.openxmlformats.org/officeDocument/2006/relationships/hyperlink" Target="http://www.consultant.ru/document/cons_doc_LAW_372204/c71cafa83381d8645d299b821bf4a49f483b6c60/#dst100058" TargetMode="External"/><Relationship Id="rId10" Type="http://schemas.openxmlformats.org/officeDocument/2006/relationships/hyperlink" Target="http://www.consultant.ru/document/cons_doc_LAW_400556/3d063ec1103c03931fe1e4c4f3eb9382b9fd7db4/#dst100019" TargetMode="External"/><Relationship Id="rId19" Type="http://schemas.openxmlformats.org/officeDocument/2006/relationships/hyperlink" Target="http://www.consultant.ru/document/cons_doc_LAW_372204/113ad847f0ab062e2349b906aa47b354728ae7ff/#dst100110" TargetMode="External"/><Relationship Id="rId31" Type="http://schemas.openxmlformats.org/officeDocument/2006/relationships/hyperlink" Target="http://www.consultant.ru/document/cons_doc_LAW_372204/167493bd22544c65d93af5e3ebdddfe255a497ef/#dst100161" TargetMode="External"/><Relationship Id="rId44" Type="http://schemas.openxmlformats.org/officeDocument/2006/relationships/hyperlink" Target="http://www.consultant.ru/document/cons_doc_LAW_372204/e693a8c8dd2ea68bdd9711f825a2c7f4b85ca1e0/#dst10019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0556/3d063ec1103c03931fe1e4c4f3eb9382b9fd7db4/#dst100019" TargetMode="External"/><Relationship Id="rId14" Type="http://schemas.openxmlformats.org/officeDocument/2006/relationships/hyperlink" Target="http://www.consultant.ru/document/cons_doc_LAW_372204/8cb8a5784a8baa8ed38d70c107b4fc9fa2f92250/#dst100095" TargetMode="External"/><Relationship Id="rId22" Type="http://schemas.openxmlformats.org/officeDocument/2006/relationships/hyperlink" Target="http://www.consultant.ru/document/cons_doc_LAW_372204/8cb8a5784a8baa8ed38d70c107b4fc9fa2f92250/#dst100091" TargetMode="External"/><Relationship Id="rId27" Type="http://schemas.openxmlformats.org/officeDocument/2006/relationships/hyperlink" Target="http://www.consultant.ru/document/cons_doc_LAW_372204/113ad847f0ab062e2349b906aa47b354728ae7ff/#dst100137" TargetMode="External"/><Relationship Id="rId30" Type="http://schemas.openxmlformats.org/officeDocument/2006/relationships/hyperlink" Target="http://www.consultant.ru/document/cons_doc_LAW_372204/167493bd22544c65d93af5e3ebdddfe255a497ef/#dst100160" TargetMode="External"/><Relationship Id="rId35" Type="http://schemas.openxmlformats.org/officeDocument/2006/relationships/hyperlink" Target="http://www.consultant.ru/document/cons_doc_LAW_372204/167493bd22544c65d93af5e3ebdddfe255a497ef/#dst100171" TargetMode="External"/><Relationship Id="rId43" Type="http://schemas.openxmlformats.org/officeDocument/2006/relationships/hyperlink" Target="http://www.consultant.ru/document/cons_doc_LAW_372204/8cb8a5784a8baa8ed38d70c107b4fc9fa2f92250/#dst100091" TargetMode="External"/><Relationship Id="rId48" Type="http://schemas.openxmlformats.org/officeDocument/2006/relationships/hyperlink" Target="http://www.consultant.ru/document/cons_doc_LAW_372204/e693a8c8dd2ea68bdd9711f825a2c7f4b85ca1e0/#dst100203" TargetMode="External"/><Relationship Id="rId8" Type="http://schemas.openxmlformats.org/officeDocument/2006/relationships/hyperlink" Target="http://www.consultant.ru/document/cons_doc_LAW_372204/8cb8a5784a8baa8ed38d70c107b4fc9fa2f92250/#dst100091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72204/8cb8a5784a8baa8ed38d70c107b4fc9fa2f92250/#dst100094" TargetMode="External"/><Relationship Id="rId17" Type="http://schemas.openxmlformats.org/officeDocument/2006/relationships/hyperlink" Target="http://www.consultant.ru/document/cons_doc_LAW_372204/c00c6d28a24c5e5c03ce5c1042e35b88337e46e7/#dst100098" TargetMode="External"/><Relationship Id="rId25" Type="http://schemas.openxmlformats.org/officeDocument/2006/relationships/hyperlink" Target="http://www.consultant.ru/document/cons_doc_LAW_372204/113ad847f0ab062e2349b906aa47b354728ae7ff/#dst100131" TargetMode="External"/><Relationship Id="rId33" Type="http://schemas.openxmlformats.org/officeDocument/2006/relationships/hyperlink" Target="http://www.consultant.ru/document/cons_doc_LAW_372204/8cb8a5784a8baa8ed38d70c107b4fc9fa2f92250/#dst100091" TargetMode="External"/><Relationship Id="rId38" Type="http://schemas.openxmlformats.org/officeDocument/2006/relationships/hyperlink" Target="http://www.consultant.ru/document/cons_doc_LAW_372204/167493bd22544c65d93af5e3ebdddfe255a497ef/#dst100172" TargetMode="External"/><Relationship Id="rId46" Type="http://schemas.openxmlformats.org/officeDocument/2006/relationships/hyperlink" Target="http://www.consultant.ru/document/cons_doc_LAW_372204/e693a8c8dd2ea68bdd9711f825a2c7f4b85ca1e0/#dst100201" TargetMode="External"/><Relationship Id="rId20" Type="http://schemas.openxmlformats.org/officeDocument/2006/relationships/hyperlink" Target="http://www.consultant.ru/document/cons_doc_LAW_372204/113ad847f0ab062e2349b906aa47b354728ae7ff/#dst100111" TargetMode="External"/><Relationship Id="rId41" Type="http://schemas.openxmlformats.org/officeDocument/2006/relationships/hyperlink" Target="http://www.consultant.ru/document/cons_doc_LAW_372204/e693a8c8dd2ea68bdd9711f825a2c7f4b85ca1e0/#dst1001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2204/645af39b14601afeacb2354da4ac362b83eb0aa0/#dst100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2022-11-28T19:12:00Z</dcterms:created>
  <dcterms:modified xsi:type="dcterms:W3CDTF">2022-11-28T19:28:00Z</dcterms:modified>
</cp:coreProperties>
</file>