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DE" w:rsidRDefault="003E3EDE" w:rsidP="00C44501">
      <w:pPr>
        <w:spacing w:after="300" w:line="360" w:lineRule="auto"/>
        <w:ind w:firstLine="709"/>
        <w:jc w:val="center"/>
      </w:pPr>
      <w:r>
        <w:fldChar w:fldCharType="begin"/>
      </w:r>
      <w:r>
        <w:instrText xml:space="preserve"> HYPERLINK "https://sudact.ru/law/reshenie-kollegii-evraziiskoi-ekonomicheskoi-komissii-ot-11082020_5/farmakopeia-evraziiskogo-ekonomicheskogo-soiuza/" </w:instrText>
      </w:r>
      <w:r>
        <w:fldChar w:fldCharType="separate"/>
      </w:r>
      <w:r>
        <w:rPr>
          <w:rStyle w:val="a3"/>
          <w:rFonts w:ascii="Arial" w:hAnsi="Arial" w:cs="Arial"/>
          <w:b/>
          <w:bCs/>
          <w:color w:val="3C5F87"/>
          <w:sz w:val="23"/>
          <w:szCs w:val="23"/>
          <w:bdr w:val="none" w:sz="0" w:space="0" w:color="auto" w:frame="1"/>
          <w:shd w:val="clear" w:color="auto" w:fill="FFFFFF"/>
        </w:rPr>
        <w:t>Фармакопея Евразийского экономического союза</w:t>
      </w:r>
      <w:r>
        <w:fldChar w:fldCharType="end"/>
      </w:r>
    </w:p>
    <w:p w:rsidR="003E3EDE" w:rsidRPr="003E3EDE" w:rsidRDefault="003E3EDE" w:rsidP="003E3EDE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3E3ED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КОЛЛЕГИЯ ЕВРАЗИЙСКОЙ ЭКОНОМИЧЕСКОЙ КОМИССИИ</w:t>
      </w:r>
    </w:p>
    <w:p w:rsidR="003E3EDE" w:rsidRPr="003E3EDE" w:rsidRDefault="003E3EDE" w:rsidP="003E3EDE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0" w:name="100002"/>
      <w:bookmarkEnd w:id="0"/>
      <w:r w:rsidRPr="003E3ED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РЕШЕНИЕ</w:t>
      </w:r>
    </w:p>
    <w:p w:rsidR="003E3EDE" w:rsidRPr="003E3EDE" w:rsidRDefault="003E3EDE" w:rsidP="003E3EDE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3E3ED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от 11 августа 2020 г. N 100</w:t>
      </w:r>
    </w:p>
    <w:p w:rsidR="003E3EDE" w:rsidRPr="003E3EDE" w:rsidRDefault="003E3EDE" w:rsidP="003E3EDE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1" w:name="100003"/>
      <w:bookmarkEnd w:id="1"/>
      <w:r w:rsidRPr="003E3ED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 ФАРМАКОПЕЕ ЕВРАЗИЙСКОГО ЭКОНОМИЧЕСКОГО СОЮЗА</w:t>
      </w:r>
    </w:p>
    <w:p w:rsidR="003E3EDE" w:rsidRPr="003E3EDE" w:rsidRDefault="003E3EDE" w:rsidP="003E3ED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3E3E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со </w:t>
      </w:r>
      <w:hyperlink r:id="rId4" w:history="1">
        <w:r w:rsidRPr="003E3ED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статьями 30</w:t>
        </w:r>
      </w:hyperlink>
      <w:r w:rsidRPr="003E3E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 </w:t>
      </w:r>
      <w:hyperlink r:id="rId5" w:history="1">
        <w:r w:rsidRPr="003E3ED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56</w:t>
        </w:r>
      </w:hyperlink>
      <w:r w:rsidRPr="003E3E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Договора о Евразийском экономическом союзе от 29 мая 2014 года, </w:t>
      </w:r>
      <w:hyperlink r:id="rId6" w:history="1">
        <w:r w:rsidRPr="003E3ED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пунктом 14</w:t>
        </w:r>
      </w:hyperlink>
      <w:r w:rsidRPr="003E3E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Протокола о применении санитарных, ветеринарно-санитарных и карантинных фитосанитарных мер (приложение N 12 к Договору о Евразийском экономическом союзе от 29 мая 2014 года), </w:t>
      </w:r>
      <w:hyperlink r:id="rId7" w:anchor="TTTHP8vWwEUH" w:history="1">
        <w:r w:rsidRPr="003E3ED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пунктом 3 статьи 5</w:t>
        </w:r>
      </w:hyperlink>
      <w:r w:rsidRPr="003E3E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Соглашения о единых принципах и правилах обращения лекарственных средств в рамках Евразийского экономического союза от 23 декабря 2014 года и Концепцией гармонизации фармакопей государств - членов Евразийского экономического союза, утвержденной м Коллегии Евразийской экономической комиссии от 22 сентября 2015 г. N 119, Коллегия Евразийской экономической комиссии решила:</w:t>
      </w:r>
    </w:p>
    <w:p w:rsidR="003E3EDE" w:rsidRPr="003E3EDE" w:rsidRDefault="003E3EDE" w:rsidP="003E3ED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3E3E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Утвердить прилагаемую </w:t>
      </w:r>
      <w:hyperlink r:id="rId8" w:history="1">
        <w:r w:rsidRPr="003E3ED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Фармакопею</w:t>
        </w:r>
      </w:hyperlink>
      <w:r w:rsidRPr="003E3E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Евразийского экономического союза и ввести ее в действие с 1 марта 2021 г.</w:t>
      </w:r>
    </w:p>
    <w:p w:rsidR="003E3EDE" w:rsidRPr="003E3EDE" w:rsidRDefault="003E3EDE" w:rsidP="003E3ED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3E3E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Установить, что до 1 января 2026 г. регистрационные досье лекарственных средств для медицинского применения и ветеринарных лекарственных средств должны быть приведены в соответствие с требованиями Фармакопеи Евразийского экономического союза, утвержденной настоящим Решением.</w:t>
      </w:r>
    </w:p>
    <w:p w:rsidR="003E3EDE" w:rsidRPr="003E3EDE" w:rsidRDefault="003E3EDE" w:rsidP="003E3ED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3E3E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Настоящее Решение вступает в силу по истечении 180 календарных дней с даты его официального опубликования.</w:t>
      </w:r>
    </w:p>
    <w:p w:rsidR="003E3EDE" w:rsidRPr="003E3EDE" w:rsidRDefault="003E3EDE" w:rsidP="003E3EDE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0008"/>
      <w:bookmarkEnd w:id="6"/>
      <w:r w:rsidRPr="003E3E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Председатель Коллеги</w:t>
      </w:r>
    </w:p>
    <w:p w:rsidR="003E3EDE" w:rsidRPr="003E3EDE" w:rsidRDefault="003E3EDE" w:rsidP="003E3EDE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3E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Евразийской экономической комиссии</w:t>
      </w:r>
    </w:p>
    <w:p w:rsidR="003E3EDE" w:rsidRPr="003E3EDE" w:rsidRDefault="003E3EDE" w:rsidP="003E3EDE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3E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М.МЯСНИКОВИЧ</w:t>
      </w:r>
    </w:p>
    <w:p w:rsidR="003E3EDE" w:rsidRPr="003E3EDE" w:rsidRDefault="003E3EDE" w:rsidP="003E3EDE">
      <w:pPr>
        <w:spacing w:after="15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" w:history="1">
        <w:r w:rsidRPr="003E3ED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1.1. Общие положения (10100000-2019)</w:t>
        </w:r>
      </w:hyperlink>
      <w:r w:rsidRPr="003E3E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→</w:t>
      </w:r>
    </w:p>
    <w:p w:rsidR="003E3EDE" w:rsidRDefault="003E3EDE" w:rsidP="001C5ED6">
      <w:pPr>
        <w:spacing w:after="300" w:line="360" w:lineRule="auto"/>
        <w:ind w:firstLine="709"/>
        <w:jc w:val="both"/>
      </w:pPr>
    </w:p>
    <w:p w:rsidR="000336D7" w:rsidRPr="000336D7" w:rsidRDefault="003E3EDE" w:rsidP="001C5ED6">
      <w:pPr>
        <w:spacing w:after="30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0336D7" w:rsidRPr="000336D7">
        <w:rPr>
          <w:rFonts w:ascii="Arial" w:eastAsia="Times New Roman" w:hAnsi="Arial" w:cs="Arial"/>
          <w:sz w:val="28"/>
          <w:szCs w:val="28"/>
          <w:lang w:eastAsia="ru-RU"/>
        </w:rPr>
        <w:t>.5.3.4. Лекарственные препараты для парентерального применения</w:t>
      </w:r>
    </w:p>
    <w:p w:rsidR="000336D7" w:rsidRPr="000336D7" w:rsidRDefault="000336D7" w:rsidP="001C5ED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7" w:name="014755"/>
      <w:bookmarkEnd w:id="7"/>
      <w:r w:rsidRPr="000336D7">
        <w:rPr>
          <w:rFonts w:ascii="Arial" w:eastAsia="Times New Roman" w:hAnsi="Arial" w:cs="Arial"/>
          <w:sz w:val="28"/>
          <w:szCs w:val="28"/>
          <w:lang w:eastAsia="ru-RU"/>
        </w:rPr>
        <w:t xml:space="preserve">Лекарственные препараты для парентерального применения представляют собой стерильные препараты, предназначенные для введения в организм человека или животного с нарушением целостности кожных покровов или слизистых оболочек путем инъекций, </w:t>
      </w:r>
      <w:proofErr w:type="spellStart"/>
      <w:r w:rsidRPr="000336D7">
        <w:rPr>
          <w:rFonts w:ascii="Arial" w:eastAsia="Times New Roman" w:hAnsi="Arial" w:cs="Arial"/>
          <w:sz w:val="28"/>
          <w:szCs w:val="28"/>
          <w:lang w:eastAsia="ru-RU"/>
        </w:rPr>
        <w:t>инфузий</w:t>
      </w:r>
      <w:proofErr w:type="spellEnd"/>
      <w:r w:rsidRPr="000336D7">
        <w:rPr>
          <w:rFonts w:ascii="Arial" w:eastAsia="Times New Roman" w:hAnsi="Arial" w:cs="Arial"/>
          <w:sz w:val="28"/>
          <w:szCs w:val="28"/>
          <w:lang w:eastAsia="ru-RU"/>
        </w:rPr>
        <w:t xml:space="preserve"> или имплантации.</w:t>
      </w:r>
    </w:p>
    <w:p w:rsidR="000336D7" w:rsidRPr="000336D7" w:rsidRDefault="000336D7" w:rsidP="001C5ED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8" w:name="014756"/>
      <w:bookmarkEnd w:id="8"/>
      <w:r w:rsidRPr="000336D7">
        <w:rPr>
          <w:rFonts w:ascii="Arial" w:eastAsia="Times New Roman" w:hAnsi="Arial" w:cs="Arial"/>
          <w:sz w:val="28"/>
          <w:szCs w:val="28"/>
          <w:lang w:eastAsia="ru-RU"/>
        </w:rPr>
        <w:t xml:space="preserve">Требования настоящей общей фармакопейной статьи не распространяются на лекарственные препараты для парентерального </w:t>
      </w:r>
      <w:r w:rsidRPr="000336D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применения, полученные из крови человека, иммунобиологические и радиофармацевтические.</w:t>
      </w:r>
    </w:p>
    <w:p w:rsidR="000336D7" w:rsidRPr="000336D7" w:rsidRDefault="000336D7" w:rsidP="001C5ED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9" w:name="014757"/>
      <w:bookmarkEnd w:id="9"/>
      <w:r w:rsidRPr="000336D7">
        <w:rPr>
          <w:rFonts w:ascii="Arial" w:eastAsia="Times New Roman" w:hAnsi="Arial" w:cs="Arial"/>
          <w:sz w:val="28"/>
          <w:szCs w:val="28"/>
          <w:lang w:eastAsia="ru-RU"/>
        </w:rPr>
        <w:t>Особые требования могут применяться для лекарственных препаратов для парентерального применения, используемых в ветеринарии в зависимости от вида животного.</w:t>
      </w:r>
    </w:p>
    <w:p w:rsidR="000336D7" w:rsidRPr="000336D7" w:rsidRDefault="000336D7" w:rsidP="001C5ED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0" w:name="014758"/>
      <w:bookmarkEnd w:id="10"/>
      <w:r w:rsidRPr="000336D7">
        <w:rPr>
          <w:rFonts w:ascii="Arial" w:eastAsia="Times New Roman" w:hAnsi="Arial" w:cs="Arial"/>
          <w:sz w:val="28"/>
          <w:szCs w:val="28"/>
          <w:lang w:eastAsia="ru-RU"/>
        </w:rPr>
        <w:t xml:space="preserve">Лекарственные препараты для инъекций и лекарственные препараты для </w:t>
      </w:r>
      <w:proofErr w:type="spellStart"/>
      <w:r w:rsidRPr="000336D7">
        <w:rPr>
          <w:rFonts w:ascii="Arial" w:eastAsia="Times New Roman" w:hAnsi="Arial" w:cs="Arial"/>
          <w:sz w:val="28"/>
          <w:szCs w:val="28"/>
          <w:lang w:eastAsia="ru-RU"/>
        </w:rPr>
        <w:t>инфузий</w:t>
      </w:r>
      <w:proofErr w:type="spellEnd"/>
      <w:r w:rsidRPr="000336D7">
        <w:rPr>
          <w:rFonts w:ascii="Arial" w:eastAsia="Times New Roman" w:hAnsi="Arial" w:cs="Arial"/>
          <w:sz w:val="28"/>
          <w:szCs w:val="28"/>
          <w:lang w:eastAsia="ru-RU"/>
        </w:rPr>
        <w:t xml:space="preserve"> выпускают в следующих лекарственных формах:</w:t>
      </w:r>
    </w:p>
    <w:p w:rsidR="000336D7" w:rsidRPr="000336D7" w:rsidRDefault="000336D7" w:rsidP="001C5ED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1" w:name="014759"/>
      <w:bookmarkEnd w:id="11"/>
      <w:r w:rsidRPr="000336D7">
        <w:rPr>
          <w:rFonts w:ascii="Arial" w:eastAsia="Times New Roman" w:hAnsi="Arial" w:cs="Arial"/>
          <w:sz w:val="28"/>
          <w:szCs w:val="28"/>
          <w:lang w:eastAsia="ru-RU"/>
        </w:rPr>
        <w:t xml:space="preserve">- жидкие лекарственные формы: растворы для инъекций, суспензии для инъекций, эмульсии для инъекций; растворы для </w:t>
      </w:r>
      <w:proofErr w:type="spellStart"/>
      <w:r w:rsidRPr="000336D7">
        <w:rPr>
          <w:rFonts w:ascii="Arial" w:eastAsia="Times New Roman" w:hAnsi="Arial" w:cs="Arial"/>
          <w:sz w:val="28"/>
          <w:szCs w:val="28"/>
          <w:lang w:eastAsia="ru-RU"/>
        </w:rPr>
        <w:t>инфузий</w:t>
      </w:r>
      <w:proofErr w:type="spellEnd"/>
      <w:r w:rsidRPr="000336D7">
        <w:rPr>
          <w:rFonts w:ascii="Arial" w:eastAsia="Times New Roman" w:hAnsi="Arial" w:cs="Arial"/>
          <w:sz w:val="28"/>
          <w:szCs w:val="28"/>
          <w:lang w:eastAsia="ru-RU"/>
        </w:rPr>
        <w:t xml:space="preserve">, эмульсии для </w:t>
      </w:r>
      <w:proofErr w:type="spellStart"/>
      <w:r w:rsidRPr="000336D7">
        <w:rPr>
          <w:rFonts w:ascii="Arial" w:eastAsia="Times New Roman" w:hAnsi="Arial" w:cs="Arial"/>
          <w:sz w:val="28"/>
          <w:szCs w:val="28"/>
          <w:lang w:eastAsia="ru-RU"/>
        </w:rPr>
        <w:t>инфузий</w:t>
      </w:r>
      <w:proofErr w:type="spellEnd"/>
      <w:r w:rsidRPr="000336D7">
        <w:rPr>
          <w:rFonts w:ascii="Arial" w:eastAsia="Times New Roman" w:hAnsi="Arial" w:cs="Arial"/>
          <w:sz w:val="28"/>
          <w:szCs w:val="28"/>
          <w:lang w:eastAsia="ru-RU"/>
        </w:rPr>
        <w:t xml:space="preserve">; концентраты для приготовления лекарственных препаратов для инъекций или </w:t>
      </w:r>
      <w:proofErr w:type="spellStart"/>
      <w:r w:rsidRPr="000336D7">
        <w:rPr>
          <w:rFonts w:ascii="Arial" w:eastAsia="Times New Roman" w:hAnsi="Arial" w:cs="Arial"/>
          <w:sz w:val="28"/>
          <w:szCs w:val="28"/>
          <w:lang w:eastAsia="ru-RU"/>
        </w:rPr>
        <w:t>инфузий</w:t>
      </w:r>
      <w:proofErr w:type="spellEnd"/>
      <w:r w:rsidRPr="000336D7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0336D7" w:rsidRPr="000336D7" w:rsidRDefault="000336D7" w:rsidP="001C5ED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2" w:name="014760"/>
      <w:bookmarkEnd w:id="12"/>
      <w:r w:rsidRPr="000336D7">
        <w:rPr>
          <w:rFonts w:ascii="Arial" w:eastAsia="Times New Roman" w:hAnsi="Arial" w:cs="Arial"/>
          <w:sz w:val="28"/>
          <w:szCs w:val="28"/>
          <w:lang w:eastAsia="ru-RU"/>
        </w:rPr>
        <w:t>- мягкие лекарственные формы: гели для инъекций, гели для подкожного введения;</w:t>
      </w:r>
    </w:p>
    <w:p w:rsidR="000336D7" w:rsidRPr="000336D7" w:rsidRDefault="000336D7" w:rsidP="001C5ED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3" w:name="014761"/>
      <w:bookmarkEnd w:id="13"/>
      <w:r w:rsidRPr="000336D7">
        <w:rPr>
          <w:rFonts w:ascii="Arial" w:eastAsia="Times New Roman" w:hAnsi="Arial" w:cs="Arial"/>
          <w:sz w:val="28"/>
          <w:szCs w:val="28"/>
          <w:lang w:eastAsia="ru-RU"/>
        </w:rPr>
        <w:t xml:space="preserve">- твердые лекарственные формы: порошки для приготовления лекарственных препаратов для инъекций или </w:t>
      </w:r>
      <w:proofErr w:type="spellStart"/>
      <w:r w:rsidRPr="000336D7">
        <w:rPr>
          <w:rFonts w:ascii="Arial" w:eastAsia="Times New Roman" w:hAnsi="Arial" w:cs="Arial"/>
          <w:sz w:val="28"/>
          <w:szCs w:val="28"/>
          <w:lang w:eastAsia="ru-RU"/>
        </w:rPr>
        <w:t>инфузий</w:t>
      </w:r>
      <w:proofErr w:type="spellEnd"/>
      <w:r w:rsidRPr="000336D7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  <w:proofErr w:type="spellStart"/>
      <w:r w:rsidRPr="000336D7">
        <w:rPr>
          <w:rFonts w:ascii="Arial" w:eastAsia="Times New Roman" w:hAnsi="Arial" w:cs="Arial"/>
          <w:sz w:val="28"/>
          <w:szCs w:val="28"/>
          <w:lang w:eastAsia="ru-RU"/>
        </w:rPr>
        <w:t>лиофилизаты</w:t>
      </w:r>
      <w:proofErr w:type="spellEnd"/>
      <w:r w:rsidRPr="000336D7">
        <w:rPr>
          <w:rFonts w:ascii="Arial" w:eastAsia="Times New Roman" w:hAnsi="Arial" w:cs="Arial"/>
          <w:sz w:val="28"/>
          <w:szCs w:val="28"/>
          <w:lang w:eastAsia="ru-RU"/>
        </w:rPr>
        <w:t xml:space="preserve"> для приготовления лекарственных препаратов для инъекций или </w:t>
      </w:r>
      <w:proofErr w:type="spellStart"/>
      <w:r w:rsidRPr="000336D7">
        <w:rPr>
          <w:rFonts w:ascii="Arial" w:eastAsia="Times New Roman" w:hAnsi="Arial" w:cs="Arial"/>
          <w:sz w:val="28"/>
          <w:szCs w:val="28"/>
          <w:lang w:eastAsia="ru-RU"/>
        </w:rPr>
        <w:t>инфузий</w:t>
      </w:r>
      <w:proofErr w:type="spellEnd"/>
      <w:r w:rsidRPr="000336D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336D7" w:rsidRPr="000336D7" w:rsidRDefault="000336D7" w:rsidP="001C5ED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4" w:name="014762"/>
      <w:bookmarkEnd w:id="14"/>
      <w:r w:rsidRPr="000336D7">
        <w:rPr>
          <w:rFonts w:ascii="Arial" w:eastAsia="Times New Roman" w:hAnsi="Arial" w:cs="Arial"/>
          <w:sz w:val="28"/>
          <w:szCs w:val="28"/>
          <w:lang w:eastAsia="ru-RU"/>
        </w:rPr>
        <w:t xml:space="preserve">Лекарственные препараты для парентерального применения, полученные после разведения концентратов, растворения порошков или </w:t>
      </w:r>
      <w:proofErr w:type="spellStart"/>
      <w:r w:rsidRPr="000336D7">
        <w:rPr>
          <w:rFonts w:ascii="Arial" w:eastAsia="Times New Roman" w:hAnsi="Arial" w:cs="Arial"/>
          <w:sz w:val="28"/>
          <w:szCs w:val="28"/>
          <w:lang w:eastAsia="ru-RU"/>
        </w:rPr>
        <w:t>лиофилизатов</w:t>
      </w:r>
      <w:proofErr w:type="spellEnd"/>
      <w:r w:rsidRPr="000336D7">
        <w:rPr>
          <w:rFonts w:ascii="Arial" w:eastAsia="Times New Roman" w:hAnsi="Arial" w:cs="Arial"/>
          <w:sz w:val="28"/>
          <w:szCs w:val="28"/>
          <w:lang w:eastAsia="ru-RU"/>
        </w:rPr>
        <w:t xml:space="preserve"> для приготовления лекарственных препаратов для инъекций или </w:t>
      </w:r>
      <w:proofErr w:type="spellStart"/>
      <w:r w:rsidRPr="000336D7">
        <w:rPr>
          <w:rFonts w:ascii="Arial" w:eastAsia="Times New Roman" w:hAnsi="Arial" w:cs="Arial"/>
          <w:sz w:val="28"/>
          <w:szCs w:val="28"/>
          <w:lang w:eastAsia="ru-RU"/>
        </w:rPr>
        <w:t>инфузий</w:t>
      </w:r>
      <w:proofErr w:type="spellEnd"/>
      <w:r w:rsidRPr="000336D7">
        <w:rPr>
          <w:rFonts w:ascii="Arial" w:eastAsia="Times New Roman" w:hAnsi="Arial" w:cs="Arial"/>
          <w:sz w:val="28"/>
          <w:szCs w:val="28"/>
          <w:lang w:eastAsia="ru-RU"/>
        </w:rPr>
        <w:t xml:space="preserve">, или диспергирования порошков или </w:t>
      </w:r>
      <w:proofErr w:type="spellStart"/>
      <w:r w:rsidRPr="000336D7">
        <w:rPr>
          <w:rFonts w:ascii="Arial" w:eastAsia="Times New Roman" w:hAnsi="Arial" w:cs="Arial"/>
          <w:sz w:val="28"/>
          <w:szCs w:val="28"/>
          <w:lang w:eastAsia="ru-RU"/>
        </w:rPr>
        <w:t>лиофилизатов</w:t>
      </w:r>
      <w:proofErr w:type="spellEnd"/>
      <w:r w:rsidRPr="000336D7">
        <w:rPr>
          <w:rFonts w:ascii="Arial" w:eastAsia="Times New Roman" w:hAnsi="Arial" w:cs="Arial"/>
          <w:sz w:val="28"/>
          <w:szCs w:val="28"/>
          <w:lang w:eastAsia="ru-RU"/>
        </w:rPr>
        <w:t xml:space="preserve"> для приготовления лекарственных препаратов для инъекций, должны соответствовать требованиям, предъявляемым к лекарственным препаратам для инъекций или лекарственным препаратам для </w:t>
      </w:r>
      <w:proofErr w:type="spellStart"/>
      <w:r w:rsidRPr="000336D7">
        <w:rPr>
          <w:rFonts w:ascii="Arial" w:eastAsia="Times New Roman" w:hAnsi="Arial" w:cs="Arial"/>
          <w:sz w:val="28"/>
          <w:szCs w:val="28"/>
          <w:lang w:eastAsia="ru-RU"/>
        </w:rPr>
        <w:t>инфузий</w:t>
      </w:r>
      <w:proofErr w:type="spellEnd"/>
      <w:r w:rsidRPr="000336D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336D7" w:rsidRPr="000336D7" w:rsidRDefault="000336D7" w:rsidP="001C5ED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5" w:name="014763"/>
      <w:bookmarkEnd w:id="15"/>
      <w:r w:rsidRPr="000336D7">
        <w:rPr>
          <w:rFonts w:ascii="Arial" w:eastAsia="Times New Roman" w:hAnsi="Arial" w:cs="Arial"/>
          <w:sz w:val="28"/>
          <w:szCs w:val="28"/>
          <w:lang w:eastAsia="ru-RU"/>
        </w:rPr>
        <w:t xml:space="preserve">Лекарственные препараты для парентерального применения могут быть выпущены в </w:t>
      </w:r>
      <w:proofErr w:type="spellStart"/>
      <w:r w:rsidRPr="000336D7">
        <w:rPr>
          <w:rFonts w:ascii="Arial" w:eastAsia="Times New Roman" w:hAnsi="Arial" w:cs="Arial"/>
          <w:sz w:val="28"/>
          <w:szCs w:val="28"/>
          <w:lang w:eastAsia="ru-RU"/>
        </w:rPr>
        <w:t>однодозовых</w:t>
      </w:r>
      <w:proofErr w:type="spellEnd"/>
      <w:r w:rsidRPr="000336D7">
        <w:rPr>
          <w:rFonts w:ascii="Arial" w:eastAsia="Times New Roman" w:hAnsi="Arial" w:cs="Arial"/>
          <w:sz w:val="28"/>
          <w:szCs w:val="28"/>
          <w:lang w:eastAsia="ru-RU"/>
        </w:rPr>
        <w:t xml:space="preserve"> или </w:t>
      </w:r>
      <w:proofErr w:type="spellStart"/>
      <w:r w:rsidRPr="000336D7">
        <w:rPr>
          <w:rFonts w:ascii="Arial" w:eastAsia="Times New Roman" w:hAnsi="Arial" w:cs="Arial"/>
          <w:sz w:val="28"/>
          <w:szCs w:val="28"/>
          <w:lang w:eastAsia="ru-RU"/>
        </w:rPr>
        <w:t>многодозовых</w:t>
      </w:r>
      <w:proofErr w:type="spellEnd"/>
      <w:r w:rsidRPr="000336D7">
        <w:rPr>
          <w:rFonts w:ascii="Arial" w:eastAsia="Times New Roman" w:hAnsi="Arial" w:cs="Arial"/>
          <w:sz w:val="28"/>
          <w:szCs w:val="28"/>
          <w:lang w:eastAsia="ru-RU"/>
        </w:rPr>
        <w:t xml:space="preserve"> упаковках.</w:t>
      </w:r>
    </w:p>
    <w:p w:rsidR="000336D7" w:rsidRPr="000336D7" w:rsidRDefault="000336D7" w:rsidP="001C5ED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6" w:name="014764"/>
      <w:bookmarkEnd w:id="16"/>
      <w:r w:rsidRPr="000336D7">
        <w:rPr>
          <w:rFonts w:ascii="Arial" w:eastAsia="Times New Roman" w:hAnsi="Arial" w:cs="Arial"/>
          <w:sz w:val="28"/>
          <w:szCs w:val="28"/>
          <w:lang w:eastAsia="ru-RU"/>
        </w:rPr>
        <w:t xml:space="preserve">Лекарственные препараты для парентерального применения могут быть малого объема - выпускаемые в упаковках с номинальным </w:t>
      </w:r>
      <w:r w:rsidRPr="000336D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содержанием 100 мл и менее, и большого объема - выпускаемые в упаковках с номинальным содержанием более 100 мл.</w:t>
      </w:r>
    </w:p>
    <w:p w:rsidR="000336D7" w:rsidRPr="000336D7" w:rsidRDefault="000336D7" w:rsidP="001C5ED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7" w:name="014765"/>
      <w:bookmarkEnd w:id="17"/>
      <w:r w:rsidRPr="000336D7">
        <w:rPr>
          <w:rFonts w:ascii="Arial" w:eastAsia="Times New Roman" w:hAnsi="Arial" w:cs="Arial"/>
          <w:sz w:val="28"/>
          <w:szCs w:val="28"/>
          <w:lang w:eastAsia="ru-RU"/>
        </w:rPr>
        <w:t>Лекарственные препараты для имплантации выпускают в следующих лекарственных формах:</w:t>
      </w:r>
    </w:p>
    <w:p w:rsidR="000336D7" w:rsidRPr="000336D7" w:rsidRDefault="000336D7" w:rsidP="001C5ED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8" w:name="014766"/>
      <w:bookmarkEnd w:id="18"/>
      <w:r w:rsidRPr="000336D7">
        <w:rPr>
          <w:rFonts w:ascii="Arial" w:eastAsia="Times New Roman" w:hAnsi="Arial" w:cs="Arial"/>
          <w:sz w:val="28"/>
          <w:szCs w:val="28"/>
          <w:lang w:eastAsia="ru-RU"/>
        </w:rPr>
        <w:t xml:space="preserve">- твердые лекарственные формы: имплантаты, включая имплантаты </w:t>
      </w:r>
      <w:proofErr w:type="spellStart"/>
      <w:r w:rsidRPr="000336D7">
        <w:rPr>
          <w:rFonts w:ascii="Arial" w:eastAsia="Times New Roman" w:hAnsi="Arial" w:cs="Arial"/>
          <w:sz w:val="28"/>
          <w:szCs w:val="28"/>
          <w:lang w:eastAsia="ru-RU"/>
        </w:rPr>
        <w:t>интравитреальные</w:t>
      </w:r>
      <w:proofErr w:type="spellEnd"/>
      <w:r w:rsidRPr="000336D7">
        <w:rPr>
          <w:rFonts w:ascii="Arial" w:eastAsia="Times New Roman" w:hAnsi="Arial" w:cs="Arial"/>
          <w:sz w:val="28"/>
          <w:szCs w:val="28"/>
          <w:lang w:eastAsia="ru-RU"/>
        </w:rPr>
        <w:t>; таблетки для имплантации;</w:t>
      </w:r>
    </w:p>
    <w:p w:rsidR="000336D7" w:rsidRPr="000336D7" w:rsidRDefault="000336D7" w:rsidP="001C5ED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19" w:name="014767"/>
      <w:bookmarkEnd w:id="19"/>
      <w:r w:rsidRPr="000336D7">
        <w:rPr>
          <w:rFonts w:ascii="Arial" w:eastAsia="Times New Roman" w:hAnsi="Arial" w:cs="Arial"/>
          <w:sz w:val="28"/>
          <w:szCs w:val="28"/>
          <w:lang w:eastAsia="ru-RU"/>
        </w:rPr>
        <w:t>- жидкие лекарственные формы: суспензии для имплантации.</w:t>
      </w:r>
    </w:p>
    <w:p w:rsidR="000336D7" w:rsidRPr="000336D7" w:rsidRDefault="000336D7" w:rsidP="001C5ED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20" w:name="014768"/>
      <w:bookmarkEnd w:id="20"/>
      <w:r w:rsidRPr="000336D7">
        <w:rPr>
          <w:rFonts w:ascii="Arial" w:eastAsia="Times New Roman" w:hAnsi="Arial" w:cs="Arial"/>
          <w:sz w:val="28"/>
          <w:szCs w:val="28"/>
          <w:lang w:eastAsia="ru-RU"/>
        </w:rPr>
        <w:t>Общие требования к лекарственным препаратам для парентерального применения приведены в общей фармакопейной статье 2.5.3.1. Лекарственные препараты, общей фармакопейной статье 2.5.1.1. Лекарственные формы и общих фармакопейных статьях на конкретную лекарственную форму.</w:t>
      </w:r>
    </w:p>
    <w:p w:rsidR="00C44501" w:rsidRDefault="00C44501" w:rsidP="001C5ED6">
      <w:pPr>
        <w:pStyle w:val="pboth"/>
        <w:shd w:val="clear" w:color="auto" w:fill="FFFFFF"/>
        <w:spacing w:before="0" w:beforeAutospacing="0" w:after="30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30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C5ED6">
        <w:rPr>
          <w:rFonts w:ascii="Arial" w:hAnsi="Arial" w:cs="Arial"/>
          <w:color w:val="000000"/>
          <w:sz w:val="28"/>
          <w:szCs w:val="28"/>
        </w:rPr>
        <w:t>ОСОБЕННОСТИ ТЕХНОЛОГИИ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21" w:name="014770"/>
      <w:bookmarkEnd w:id="21"/>
      <w:r w:rsidRPr="001C5ED6">
        <w:rPr>
          <w:rFonts w:ascii="Arial" w:hAnsi="Arial" w:cs="Arial"/>
          <w:color w:val="000000"/>
          <w:sz w:val="28"/>
          <w:szCs w:val="28"/>
        </w:rPr>
        <w:t>Все лекарственные препараты для парентерального применения должны быть стерильными.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22" w:name="014771"/>
      <w:bookmarkEnd w:id="22"/>
      <w:r w:rsidRPr="001C5ED6">
        <w:rPr>
          <w:rFonts w:ascii="Arial" w:hAnsi="Arial" w:cs="Arial"/>
          <w:color w:val="000000"/>
          <w:sz w:val="28"/>
          <w:szCs w:val="28"/>
        </w:rPr>
        <w:t>Методы и условия стерилизации лекарственных препаратов для парентерального применения должны обеспечивать их стерильность и соответствие лекарственного препарата общей фармакопейной </w:t>
      </w:r>
      <w:hyperlink r:id="rId10" w:history="1">
        <w:r w:rsidRPr="001C5ED6">
          <w:rPr>
            <w:rStyle w:val="a3"/>
            <w:rFonts w:ascii="Arial" w:hAnsi="Arial" w:cs="Arial"/>
            <w:color w:val="3C5F87"/>
            <w:sz w:val="28"/>
            <w:szCs w:val="28"/>
            <w:bdr w:val="none" w:sz="0" w:space="0" w:color="auto" w:frame="1"/>
          </w:rPr>
          <w:t>статье 2.1.6.1</w:t>
        </w:r>
      </w:hyperlink>
      <w:r w:rsidRPr="001C5ED6">
        <w:rPr>
          <w:rFonts w:ascii="Arial" w:hAnsi="Arial" w:cs="Arial"/>
          <w:color w:val="000000"/>
          <w:sz w:val="28"/>
          <w:szCs w:val="28"/>
        </w:rPr>
        <w:t>. Стерильность.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23" w:name="014772"/>
      <w:bookmarkEnd w:id="23"/>
      <w:r w:rsidRPr="001C5ED6">
        <w:rPr>
          <w:rFonts w:ascii="Arial" w:hAnsi="Arial" w:cs="Arial"/>
          <w:color w:val="000000"/>
          <w:sz w:val="28"/>
          <w:szCs w:val="28"/>
        </w:rPr>
        <w:t>Лекарственные препараты для парентерального применения в зависимости от физико-химических характеристик действующих веществ могут быть получены с использованием финишной стерилизации или без нее (асептические условия).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24" w:name="014773"/>
      <w:bookmarkEnd w:id="24"/>
      <w:r w:rsidRPr="001C5ED6">
        <w:rPr>
          <w:rFonts w:ascii="Arial" w:hAnsi="Arial" w:cs="Arial"/>
          <w:color w:val="000000"/>
          <w:sz w:val="28"/>
          <w:szCs w:val="28"/>
        </w:rPr>
        <w:t>Способ получения лекарственных препаратов для парентерального применения зависит от вида лекарственной формы.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25" w:name="014774"/>
      <w:bookmarkEnd w:id="25"/>
      <w:r w:rsidRPr="001C5ED6">
        <w:rPr>
          <w:rFonts w:ascii="Arial" w:hAnsi="Arial" w:cs="Arial"/>
          <w:color w:val="000000"/>
          <w:sz w:val="28"/>
          <w:szCs w:val="28"/>
        </w:rPr>
        <w:t>Для получения лекарственных препаратов для парентерального применения используют воду для инъекций.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26" w:name="014775"/>
      <w:bookmarkEnd w:id="26"/>
      <w:r w:rsidRPr="001C5ED6">
        <w:rPr>
          <w:rFonts w:ascii="Arial" w:hAnsi="Arial" w:cs="Arial"/>
          <w:color w:val="000000"/>
          <w:sz w:val="28"/>
          <w:szCs w:val="28"/>
        </w:rPr>
        <w:lastRenderedPageBreak/>
        <w:t>Для получения неводных растворов лекарственных препаратов для парентерального применения используют жирные растительные масла или органические растворители, разрешенные к использованию в производстве лекарственных средств.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27" w:name="014776"/>
      <w:bookmarkEnd w:id="27"/>
      <w:r w:rsidRPr="001C5ED6">
        <w:rPr>
          <w:rFonts w:ascii="Arial" w:hAnsi="Arial" w:cs="Arial"/>
          <w:color w:val="000000"/>
          <w:sz w:val="28"/>
          <w:szCs w:val="28"/>
        </w:rPr>
        <w:t xml:space="preserve">В составе комплексных растворителей могут быть применены этанол, глицерин,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пропиленгликоль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макрогол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400,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бензилбензоат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бензиловый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спирт и другие вспомогательные вещества.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28" w:name="014777"/>
      <w:bookmarkEnd w:id="28"/>
      <w:r w:rsidRPr="001C5ED6">
        <w:rPr>
          <w:rFonts w:ascii="Arial" w:hAnsi="Arial" w:cs="Arial"/>
          <w:color w:val="000000"/>
          <w:sz w:val="28"/>
          <w:szCs w:val="28"/>
        </w:rPr>
        <w:t>При использовании жирных растительных масел для получения лекарственных препаратов для парентерального применения следует обращать особое внимание на внешний вид растворителя: масло должно быть прозрачным при температуре 10 °C, без запаха или почти без запаха, а также на соответствие таких показателей качества, как кислотное число, число омыления, йодное число требованиям частной фармакопейной статьи и (или) нормативного документа по качеству, установленного для конкретного масла.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29" w:name="014778"/>
      <w:bookmarkEnd w:id="29"/>
      <w:r w:rsidRPr="001C5ED6">
        <w:rPr>
          <w:rFonts w:ascii="Arial" w:hAnsi="Arial" w:cs="Arial"/>
          <w:color w:val="000000"/>
          <w:sz w:val="28"/>
          <w:szCs w:val="28"/>
        </w:rPr>
        <w:t xml:space="preserve">Для получения лекарственных препаратов для парентерального применения могут быть использованы вспомогательные вещества различных функциональных классов, например, обеспечивающие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изотоничность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лекарственного препарата относительно крови, регулирующие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pH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>, улучшающие растворимость действующих веществ, антимикробные консерванты, антиоксиданты, стабилизаторы, эмульгаторы и другие вещества при надлежащем обосновании.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30" w:name="014779"/>
      <w:bookmarkEnd w:id="30"/>
      <w:r w:rsidRPr="001C5ED6">
        <w:rPr>
          <w:rFonts w:ascii="Arial" w:hAnsi="Arial" w:cs="Arial"/>
          <w:color w:val="000000"/>
          <w:sz w:val="28"/>
          <w:szCs w:val="28"/>
        </w:rPr>
        <w:t>В лекарственных препаратах для парентерального применения, содержащих антимикробные консерванты и антиоксиданты, необходимо проводить испытания по идентификации и количественному их определению с указанием пределов (верхнего и нижнего) их содержания.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31" w:name="014780"/>
      <w:bookmarkEnd w:id="31"/>
      <w:r w:rsidRPr="001C5ED6">
        <w:rPr>
          <w:rFonts w:ascii="Arial" w:hAnsi="Arial" w:cs="Arial"/>
          <w:color w:val="000000"/>
          <w:sz w:val="28"/>
          <w:szCs w:val="28"/>
        </w:rPr>
        <w:t xml:space="preserve">При этом содержание некоторых вспомогательных веществ в лекарственных препаратах для парентерального применения должно быть обосновано. Вспомогательные вещества, содержащие ртуть и </w:t>
      </w:r>
      <w:r w:rsidRPr="001C5ED6">
        <w:rPr>
          <w:rFonts w:ascii="Arial" w:hAnsi="Arial" w:cs="Arial"/>
          <w:color w:val="000000"/>
          <w:sz w:val="28"/>
          <w:szCs w:val="28"/>
        </w:rPr>
        <w:lastRenderedPageBreak/>
        <w:t xml:space="preserve">катионные поверхностно-активные соединения, вещества, подобные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хлорбутанолу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, крезолу и фенолу, представляющие собой серы диоксид или </w:t>
      </w:r>
      <w:proofErr w:type="gramStart"/>
      <w:r w:rsidRPr="001C5ED6">
        <w:rPr>
          <w:rFonts w:ascii="Arial" w:hAnsi="Arial" w:cs="Arial"/>
          <w:color w:val="000000"/>
          <w:sz w:val="28"/>
          <w:szCs w:val="28"/>
        </w:rPr>
        <w:t>калия</w:t>
      </w:r>
      <w:proofErr w:type="gramEnd"/>
      <w:r w:rsidRPr="001C5ED6">
        <w:rPr>
          <w:rFonts w:ascii="Arial" w:hAnsi="Arial" w:cs="Arial"/>
          <w:color w:val="000000"/>
          <w:sz w:val="28"/>
          <w:szCs w:val="28"/>
        </w:rPr>
        <w:t xml:space="preserve"> или натрия сульфит, бисульфит и метабисульфит, должны использоваться в количествах, не превышающих концентраций, регламентированных соответствующими актами Союза, а при их отсутствии - актами государств - членов Союза.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32" w:name="014781"/>
      <w:bookmarkEnd w:id="32"/>
      <w:r w:rsidRPr="001C5ED6">
        <w:rPr>
          <w:rFonts w:ascii="Arial" w:hAnsi="Arial" w:cs="Arial"/>
          <w:color w:val="000000"/>
          <w:sz w:val="28"/>
          <w:szCs w:val="28"/>
        </w:rPr>
        <w:t xml:space="preserve">В лекарственные препараты для инъекций в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многодозовой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упаковке антимикробные консерванты добавляют в необходимой концентрации независимо от способа стерилизации, за исключением тех случаев, когда активная фармацевтическая субстанция обладает достаточной антимикробной активностью.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33" w:name="014782"/>
      <w:bookmarkEnd w:id="33"/>
      <w:r w:rsidRPr="001C5ED6">
        <w:rPr>
          <w:rFonts w:ascii="Arial" w:hAnsi="Arial" w:cs="Arial"/>
          <w:color w:val="000000"/>
          <w:sz w:val="28"/>
          <w:szCs w:val="28"/>
        </w:rPr>
        <w:t>Лекарственные препараты для инъекций с объемом введения в одноразовой дозе более 15 мл, при отсутствии соответствующего обоснования, а также лекарственные препараты для внутриполостных, внутрисердечных, внутриглазных инъекций или инъекций, имеющих доступ к спинномозговой жидкости и предназначенных для новорожденных, не должны содержать антимикробных консервантов.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34" w:name="014783"/>
      <w:bookmarkEnd w:id="34"/>
      <w:r w:rsidRPr="001C5ED6">
        <w:rPr>
          <w:rFonts w:ascii="Arial" w:hAnsi="Arial" w:cs="Arial"/>
          <w:color w:val="000000"/>
          <w:sz w:val="28"/>
          <w:szCs w:val="28"/>
        </w:rPr>
        <w:t xml:space="preserve">Лекарственные препараты для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инфузий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не должны содержать антимикробных консервантов и, как правило, должны быть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изотоничны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по отношению к крови человека и животного.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35" w:name="014784"/>
      <w:bookmarkEnd w:id="35"/>
      <w:r w:rsidRPr="001C5ED6">
        <w:rPr>
          <w:rFonts w:ascii="Arial" w:hAnsi="Arial" w:cs="Arial"/>
          <w:color w:val="000000"/>
          <w:sz w:val="28"/>
          <w:szCs w:val="28"/>
        </w:rPr>
        <w:t>Основа для гелей для парентерального применения должна обладать вязкостью, обеспечивающей модифицированное высвобождение действующего вещества в месте введения.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36" w:name="014785"/>
      <w:bookmarkEnd w:id="36"/>
      <w:r w:rsidRPr="001C5ED6">
        <w:rPr>
          <w:rFonts w:ascii="Arial" w:hAnsi="Arial" w:cs="Arial"/>
          <w:color w:val="000000"/>
          <w:sz w:val="28"/>
          <w:szCs w:val="28"/>
        </w:rPr>
        <w:t xml:space="preserve">При производстве лекарственных препаратов для парентерального применения, содержащих диспергированные частицы и представляющих собой гетерогенные, комбинированные дисперсные системы, должна быть предусмотрена технология, обеспечивающая получение и контроль частиц необходимого размера. Эмульсии для инъекций и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инфузий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не должны обнаруживать признаков расслоения. В суспензиях для инъекций может наблюдаться осадок, который при </w:t>
      </w:r>
      <w:r w:rsidRPr="001C5ED6">
        <w:rPr>
          <w:rFonts w:ascii="Arial" w:hAnsi="Arial" w:cs="Arial"/>
          <w:color w:val="000000"/>
          <w:sz w:val="28"/>
          <w:szCs w:val="28"/>
        </w:rPr>
        <w:lastRenderedPageBreak/>
        <w:t xml:space="preserve">взбалтывании должен быстро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диспергироваться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с образованием достаточно стабильной суспензии, чтобы обеспечить необходимую дозу введения.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37" w:name="014786"/>
      <w:bookmarkEnd w:id="37"/>
      <w:r w:rsidRPr="001C5ED6">
        <w:rPr>
          <w:rFonts w:ascii="Arial" w:hAnsi="Arial" w:cs="Arial"/>
          <w:color w:val="000000"/>
          <w:sz w:val="28"/>
          <w:szCs w:val="28"/>
        </w:rPr>
        <w:t>Лекарственные препараты для парентерального применения производят с использованием материалов и методов, исключающих возможность микробной контаминации и роста микроорганизмов и обеспечивающих их стерильность и соответствие лекарственного препарата общей фармакопейной </w:t>
      </w:r>
      <w:hyperlink r:id="rId11" w:history="1">
        <w:r w:rsidRPr="001C5ED6">
          <w:rPr>
            <w:rStyle w:val="a3"/>
            <w:rFonts w:ascii="Arial" w:hAnsi="Arial" w:cs="Arial"/>
            <w:color w:val="3C5F87"/>
            <w:sz w:val="28"/>
            <w:szCs w:val="28"/>
            <w:bdr w:val="none" w:sz="0" w:space="0" w:color="auto" w:frame="1"/>
          </w:rPr>
          <w:t>статье 2.1.6.1</w:t>
        </w:r>
      </w:hyperlink>
      <w:r w:rsidRPr="001C5ED6">
        <w:rPr>
          <w:rFonts w:ascii="Arial" w:hAnsi="Arial" w:cs="Arial"/>
          <w:color w:val="000000"/>
          <w:sz w:val="28"/>
          <w:szCs w:val="28"/>
        </w:rPr>
        <w:t> Стерильность.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38" w:name="014787"/>
      <w:bookmarkEnd w:id="38"/>
      <w:r w:rsidRPr="001C5ED6">
        <w:rPr>
          <w:rFonts w:ascii="Arial" w:hAnsi="Arial" w:cs="Arial"/>
          <w:color w:val="000000"/>
          <w:sz w:val="28"/>
          <w:szCs w:val="28"/>
        </w:rPr>
        <w:t>Растворители, используемые для разведения перед применением лекарственных препаратов для парентерального применения в виде жидких лекарственных форм, должны выдерживать дополнительные требования по показателям Бактериальные эндотоксины (</w:t>
      </w:r>
      <w:hyperlink r:id="rId12" w:history="1">
        <w:r w:rsidRPr="001C5ED6">
          <w:rPr>
            <w:rStyle w:val="a3"/>
            <w:rFonts w:ascii="Arial" w:hAnsi="Arial" w:cs="Arial"/>
            <w:color w:val="3C5F87"/>
            <w:sz w:val="28"/>
            <w:szCs w:val="28"/>
            <w:bdr w:val="none" w:sz="0" w:space="0" w:color="auto" w:frame="1"/>
          </w:rPr>
          <w:t>2.1.6.8</w:t>
        </w:r>
      </w:hyperlink>
      <w:r w:rsidRPr="001C5ED6">
        <w:rPr>
          <w:rFonts w:ascii="Arial" w:hAnsi="Arial" w:cs="Arial"/>
          <w:color w:val="000000"/>
          <w:sz w:val="28"/>
          <w:szCs w:val="28"/>
        </w:rPr>
        <w:t xml:space="preserve">.) или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Пирогенность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> </w:t>
      </w:r>
      <w:hyperlink r:id="rId13" w:history="1">
        <w:r w:rsidRPr="001C5ED6">
          <w:rPr>
            <w:rStyle w:val="a3"/>
            <w:rFonts w:ascii="Arial" w:hAnsi="Arial" w:cs="Arial"/>
            <w:color w:val="3C5F87"/>
            <w:sz w:val="28"/>
            <w:szCs w:val="28"/>
            <w:bdr w:val="none" w:sz="0" w:space="0" w:color="auto" w:frame="1"/>
          </w:rPr>
          <w:t>(2.1.6.2)</w:t>
        </w:r>
      </w:hyperlink>
      <w:r w:rsidRPr="001C5ED6">
        <w:rPr>
          <w:rFonts w:ascii="Arial" w:hAnsi="Arial" w:cs="Arial"/>
          <w:color w:val="000000"/>
          <w:sz w:val="28"/>
          <w:szCs w:val="28"/>
        </w:rPr>
        <w:t>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39" w:name="014788"/>
      <w:bookmarkEnd w:id="39"/>
      <w:r w:rsidRPr="001C5ED6">
        <w:rPr>
          <w:rFonts w:ascii="Arial" w:hAnsi="Arial" w:cs="Arial"/>
          <w:color w:val="000000"/>
          <w:sz w:val="28"/>
          <w:szCs w:val="28"/>
        </w:rPr>
        <w:t xml:space="preserve">Лекарственные препараты для инъекций и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инфузий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могут быть выпущены готовыми к применению или быть приготовленными непосредственно перед применением в виде восстановленных лекарственных форм из порошков или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лиофилизатов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, предназначенных для получения лекарственных препаратов для инъекций или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инфузий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путем растворения, или из порошков или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лиофилизатов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, предназначенных для получения лекарственных препаратов для инъекций путем диспергирования их в соответствующем растворителе, или из концентратов, предназначенных для получения лекарственных препаратов для инъекций или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инфузий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после разведения в соответствующем растворителе до требуемой концентрации.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40" w:name="014789"/>
      <w:bookmarkEnd w:id="40"/>
      <w:r w:rsidRPr="001C5ED6">
        <w:rPr>
          <w:rFonts w:ascii="Arial" w:hAnsi="Arial" w:cs="Arial"/>
          <w:color w:val="000000"/>
          <w:sz w:val="28"/>
          <w:szCs w:val="28"/>
        </w:rPr>
        <w:t xml:space="preserve">Упаковка, укупорочные средства, материалы, используемые для производства упаковки, укупорочных средств и других элементов упаковки лекарственных препаратов для парентерального применения, должны соответствовать требованиям, предъявляемым к материалам, используемым для производства упаковки и к упаковке. При отсутствии </w:t>
      </w:r>
      <w:r w:rsidRPr="001C5ED6">
        <w:rPr>
          <w:rFonts w:ascii="Arial" w:hAnsi="Arial" w:cs="Arial"/>
          <w:color w:val="000000"/>
          <w:sz w:val="28"/>
          <w:szCs w:val="28"/>
        </w:rPr>
        <w:lastRenderedPageBreak/>
        <w:t>другого обоснования упаковка лекарственных препаратов для парентерального применения должна быть достаточно прозрачна для проведения визуального контроля содержимого, за исключением упаковки для имплантатов.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41" w:name="014790"/>
      <w:bookmarkEnd w:id="41"/>
      <w:r w:rsidRPr="001C5ED6">
        <w:rPr>
          <w:rFonts w:ascii="Arial" w:hAnsi="Arial" w:cs="Arial"/>
          <w:color w:val="000000"/>
          <w:sz w:val="28"/>
          <w:szCs w:val="28"/>
        </w:rPr>
        <w:t>Система упаковки и укупорки лекарственных препаратов для парентерального применения должна обеспечивать герметичность. Испытания на герметичность упаковки проводят при контроле технологического процесса производства лекарственных препаратов для парентерального применения в соответствии с общей фармакопейной статьей 2.1.9.19. Определение герметичности упаковки.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42" w:name="014791"/>
      <w:bookmarkEnd w:id="42"/>
      <w:r w:rsidRPr="001C5ED6">
        <w:rPr>
          <w:rFonts w:ascii="Arial" w:hAnsi="Arial" w:cs="Arial"/>
          <w:color w:val="000000"/>
          <w:sz w:val="28"/>
          <w:szCs w:val="28"/>
        </w:rPr>
        <w:t xml:space="preserve">Если продукты вымывания из системы упаковки и укупорки лекарственных препаратов для парентерального применения могут оказать влияние на их безопасность и эффективность, необходимо предусмотреть дополнительные испытания. При фармацевтической разработке лекарственного препарата, при изучении его стабильности, в рамках контроля технологического процесса производства растворы для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инфузий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в полимерной упаковке должны быть подвергнуты испытаниям на экстрагируемые вещества, а растворы для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инфузий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в упаковке из поливинилхлорида - дополнительно по показателю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Гемолитически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действующие вещества.</w:t>
      </w:r>
    </w:p>
    <w:p w:rsidR="001C5ED6" w:rsidRPr="001C5ED6" w:rsidRDefault="001C5ED6" w:rsidP="001C5ED6">
      <w:pPr>
        <w:spacing w:line="360" w:lineRule="auto"/>
        <w:ind w:firstLine="709"/>
        <w:jc w:val="both"/>
        <w:rPr>
          <w:sz w:val="28"/>
          <w:szCs w:val="28"/>
        </w:rPr>
      </w:pP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30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C5ED6">
        <w:rPr>
          <w:rFonts w:ascii="Arial" w:hAnsi="Arial" w:cs="Arial"/>
          <w:color w:val="000000"/>
          <w:sz w:val="28"/>
          <w:szCs w:val="28"/>
        </w:rPr>
        <w:t>ИСПЫТАНИЯ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43" w:name="014793"/>
      <w:bookmarkEnd w:id="43"/>
      <w:r w:rsidRPr="001C5ED6">
        <w:rPr>
          <w:rFonts w:ascii="Arial" w:hAnsi="Arial" w:cs="Arial"/>
          <w:color w:val="000000"/>
          <w:sz w:val="28"/>
          <w:szCs w:val="28"/>
        </w:rPr>
        <w:t>Лекарственные препараты для парентерального применения должны выдерживать следующие испытания.</w:t>
      </w:r>
    </w:p>
    <w:p w:rsidR="00C44501" w:rsidRDefault="00C44501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44" w:name="014794"/>
      <w:bookmarkEnd w:id="44"/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C5ED6">
        <w:rPr>
          <w:rFonts w:ascii="Arial" w:hAnsi="Arial" w:cs="Arial"/>
          <w:color w:val="000000"/>
          <w:sz w:val="28"/>
          <w:szCs w:val="28"/>
        </w:rPr>
        <w:t xml:space="preserve">Описание. Лекарственные препараты для парентерального применения характеризуют, отмечая внешний вид (агрегатное состояние, форму, размеры и др.) и основные физические, </w:t>
      </w:r>
      <w:r w:rsidRPr="001C5ED6">
        <w:rPr>
          <w:rFonts w:ascii="Arial" w:hAnsi="Arial" w:cs="Arial"/>
          <w:color w:val="000000"/>
          <w:sz w:val="28"/>
          <w:szCs w:val="28"/>
        </w:rPr>
        <w:lastRenderedPageBreak/>
        <w:t>органолептические (цвет, запах) и другие свойства в соответствии с указаниями в частной фармакопейной статье и (или) нормативном документе по качеству.</w:t>
      </w:r>
    </w:p>
    <w:p w:rsidR="00C44501" w:rsidRDefault="00C44501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45" w:name="014795"/>
      <w:bookmarkEnd w:id="45"/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C5ED6">
        <w:rPr>
          <w:rFonts w:ascii="Arial" w:hAnsi="Arial" w:cs="Arial"/>
          <w:color w:val="000000"/>
          <w:sz w:val="28"/>
          <w:szCs w:val="28"/>
        </w:rPr>
        <w:t>Стерильность. Испытание проводят для всех лекарственных препаратов для парентерального применения в соответствии с общей фармакопейной </w:t>
      </w:r>
      <w:hyperlink r:id="rId14" w:history="1">
        <w:r w:rsidRPr="001C5ED6">
          <w:rPr>
            <w:rStyle w:val="a3"/>
            <w:rFonts w:ascii="Arial" w:hAnsi="Arial" w:cs="Arial"/>
            <w:color w:val="3C5F87"/>
            <w:sz w:val="28"/>
            <w:szCs w:val="28"/>
            <w:bdr w:val="none" w:sz="0" w:space="0" w:color="auto" w:frame="1"/>
          </w:rPr>
          <w:t>статьей 2.1.6.1</w:t>
        </w:r>
      </w:hyperlink>
      <w:r w:rsidRPr="001C5ED6">
        <w:rPr>
          <w:rFonts w:ascii="Arial" w:hAnsi="Arial" w:cs="Arial"/>
          <w:color w:val="000000"/>
          <w:sz w:val="28"/>
          <w:szCs w:val="28"/>
        </w:rPr>
        <w:t>. Стерильность.</w:t>
      </w:r>
    </w:p>
    <w:p w:rsidR="00C44501" w:rsidRDefault="00C44501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46" w:name="014796"/>
      <w:bookmarkEnd w:id="46"/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C5ED6">
        <w:rPr>
          <w:rFonts w:ascii="Arial" w:hAnsi="Arial" w:cs="Arial"/>
          <w:color w:val="000000"/>
          <w:sz w:val="28"/>
          <w:szCs w:val="28"/>
        </w:rPr>
        <w:t xml:space="preserve">Бактериальные эндотоксины или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Пирогенность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>. Испытание проводят для всех лекарственных препаратов для парентерального применения в соответствии с общей фармакопейной </w:t>
      </w:r>
      <w:hyperlink r:id="rId15" w:history="1">
        <w:r w:rsidRPr="001C5ED6">
          <w:rPr>
            <w:rStyle w:val="a3"/>
            <w:rFonts w:ascii="Arial" w:hAnsi="Arial" w:cs="Arial"/>
            <w:color w:val="3C5F87"/>
            <w:sz w:val="28"/>
            <w:szCs w:val="28"/>
            <w:bdr w:val="none" w:sz="0" w:space="0" w:color="auto" w:frame="1"/>
          </w:rPr>
          <w:t>статьей 2.1.6.8</w:t>
        </w:r>
      </w:hyperlink>
      <w:r w:rsidRPr="001C5ED6">
        <w:rPr>
          <w:rFonts w:ascii="Arial" w:hAnsi="Arial" w:cs="Arial"/>
          <w:color w:val="000000"/>
          <w:sz w:val="28"/>
          <w:szCs w:val="28"/>
        </w:rPr>
        <w:t>. Бактериальные эндотоксины или общей фармакопейной </w:t>
      </w:r>
      <w:hyperlink r:id="rId16" w:history="1">
        <w:r w:rsidRPr="001C5ED6">
          <w:rPr>
            <w:rStyle w:val="a3"/>
            <w:rFonts w:ascii="Arial" w:hAnsi="Arial" w:cs="Arial"/>
            <w:color w:val="3C5F87"/>
            <w:sz w:val="28"/>
            <w:szCs w:val="28"/>
            <w:bdr w:val="none" w:sz="0" w:space="0" w:color="auto" w:frame="1"/>
          </w:rPr>
          <w:t xml:space="preserve">статьей </w:t>
        </w:r>
        <w:r w:rsidRPr="001C5ED6">
          <w:rPr>
            <w:rStyle w:val="a3"/>
            <w:rFonts w:ascii="Arial" w:hAnsi="Arial" w:cs="Arial"/>
            <w:color w:val="3C5F87"/>
            <w:sz w:val="28"/>
            <w:szCs w:val="28"/>
            <w:bdr w:val="none" w:sz="0" w:space="0" w:color="auto" w:frame="1"/>
          </w:rPr>
          <w:t>2.1.6.2</w:t>
        </w:r>
      </w:hyperlink>
      <w:r w:rsidRPr="001C5ED6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Пирогенность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>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47" w:name="014797"/>
      <w:bookmarkEnd w:id="47"/>
      <w:r w:rsidRPr="001C5ED6">
        <w:rPr>
          <w:rFonts w:ascii="Arial" w:hAnsi="Arial" w:cs="Arial"/>
          <w:color w:val="000000"/>
          <w:sz w:val="28"/>
          <w:szCs w:val="28"/>
        </w:rPr>
        <w:t xml:space="preserve">Для ветеринарных лекарственных парентеральных препаратов испытания по показателям качества Бактериальные эндотоксины или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Пирогенность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проводят в том случае, если объем однократно вводимой дозы лекарственного препарата составляет 15 мл или более и доза равна 0,2 мл или более на килограмм массы тела.</w:t>
      </w:r>
    </w:p>
    <w:p w:rsidR="00C44501" w:rsidRDefault="00C44501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48" w:name="014798"/>
      <w:bookmarkEnd w:id="48"/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C5ED6">
        <w:rPr>
          <w:rFonts w:ascii="Arial" w:hAnsi="Arial" w:cs="Arial"/>
          <w:color w:val="000000"/>
          <w:sz w:val="28"/>
          <w:szCs w:val="28"/>
        </w:rPr>
        <w:t>Аномальная токсичность. Испытание проводят в соответствии с общей фармакопейной </w:t>
      </w:r>
      <w:hyperlink r:id="rId17" w:history="1">
        <w:r w:rsidRPr="001C5ED6">
          <w:rPr>
            <w:rStyle w:val="a3"/>
            <w:rFonts w:ascii="Arial" w:hAnsi="Arial" w:cs="Arial"/>
            <w:color w:val="3C5F87"/>
            <w:sz w:val="28"/>
            <w:szCs w:val="28"/>
            <w:bdr w:val="none" w:sz="0" w:space="0" w:color="auto" w:frame="1"/>
          </w:rPr>
          <w:t>статьей 2.1.6.3</w:t>
        </w:r>
      </w:hyperlink>
      <w:r w:rsidRPr="001C5ED6">
        <w:rPr>
          <w:rFonts w:ascii="Arial" w:hAnsi="Arial" w:cs="Arial"/>
          <w:color w:val="000000"/>
          <w:sz w:val="28"/>
          <w:szCs w:val="28"/>
        </w:rPr>
        <w:t xml:space="preserve">. Аномальная токсичность для лекарственных препаратов для парентерального применения, полученных из сырья природного происхождения; для лекарственных препаратов для инъекций и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инфузий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в упаковках из полимерных материалов и в других случаях, если имеются соответствующие указания в частной фармакопейной статье и (или) нормативном документе по качеству. Испытание не проводят при наличии соответствующего обоснования.</w:t>
      </w:r>
    </w:p>
    <w:p w:rsidR="00C44501" w:rsidRDefault="00C44501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49" w:name="014799"/>
      <w:bookmarkEnd w:id="49"/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C5ED6">
        <w:rPr>
          <w:rFonts w:ascii="Arial" w:hAnsi="Arial" w:cs="Arial"/>
          <w:color w:val="000000"/>
          <w:sz w:val="28"/>
          <w:szCs w:val="28"/>
        </w:rPr>
        <w:lastRenderedPageBreak/>
        <w:t>Гистамин и (или) Депрессорные вещества. проводят для лекарственных препаратов для парентерального применения, предназначенных для внутрисосудистого введения и полученных из активных фармацевтических субстанций, которые могут обладать депрессорным действием (субстанции микробиологического или животного происхождения), в соответствии с общей фармакопейной </w:t>
      </w:r>
      <w:hyperlink r:id="rId18" w:history="1">
        <w:r w:rsidRPr="001C5ED6">
          <w:rPr>
            <w:rStyle w:val="a3"/>
            <w:rFonts w:ascii="Arial" w:hAnsi="Arial" w:cs="Arial"/>
            <w:color w:val="3C5F87"/>
            <w:sz w:val="28"/>
            <w:szCs w:val="28"/>
            <w:bdr w:val="none" w:sz="0" w:space="0" w:color="auto" w:frame="1"/>
          </w:rPr>
          <w:t>статьей 2.1.6.4</w:t>
        </w:r>
      </w:hyperlink>
      <w:r w:rsidRPr="001C5ED6">
        <w:rPr>
          <w:rFonts w:ascii="Arial" w:hAnsi="Arial" w:cs="Arial"/>
          <w:color w:val="000000"/>
          <w:sz w:val="28"/>
          <w:szCs w:val="28"/>
        </w:rPr>
        <w:t>. Испытание на гистамин и (или) общей фармакопейной </w:t>
      </w:r>
      <w:hyperlink r:id="rId19" w:history="1">
        <w:r w:rsidRPr="001C5ED6">
          <w:rPr>
            <w:rStyle w:val="a3"/>
            <w:rFonts w:ascii="Arial" w:hAnsi="Arial" w:cs="Arial"/>
            <w:color w:val="3C5F87"/>
            <w:sz w:val="28"/>
            <w:szCs w:val="28"/>
            <w:bdr w:val="none" w:sz="0" w:space="0" w:color="auto" w:frame="1"/>
          </w:rPr>
          <w:t>статьей 2.1.6.5</w:t>
        </w:r>
      </w:hyperlink>
      <w:r w:rsidRPr="001C5ED6">
        <w:rPr>
          <w:rFonts w:ascii="Arial" w:hAnsi="Arial" w:cs="Arial"/>
          <w:color w:val="000000"/>
          <w:sz w:val="28"/>
          <w:szCs w:val="28"/>
        </w:rPr>
        <w:t>. Испытание на депрессорные вещества.</w:t>
      </w:r>
    </w:p>
    <w:p w:rsidR="00C44501" w:rsidRDefault="00C44501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50" w:name="014800"/>
      <w:bookmarkEnd w:id="50"/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pH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>. Испытание проводят для лекарственных препаратов для парентерального применения, представляющих собой жидкие лекарственные формы непосредственно или после восстановления, в соответствии с общей фармакопейной </w:t>
      </w:r>
      <w:hyperlink r:id="rId20" w:history="1">
        <w:r w:rsidRPr="001C5ED6">
          <w:rPr>
            <w:rStyle w:val="a3"/>
            <w:rFonts w:ascii="Arial" w:hAnsi="Arial" w:cs="Arial"/>
            <w:color w:val="3C5F87"/>
            <w:sz w:val="28"/>
            <w:szCs w:val="28"/>
            <w:bdr w:val="none" w:sz="0" w:space="0" w:color="auto" w:frame="1"/>
          </w:rPr>
          <w:t>статьей 2.1.2.3</w:t>
        </w:r>
      </w:hyperlink>
      <w:r w:rsidRPr="001C5ED6">
        <w:rPr>
          <w:rFonts w:ascii="Arial" w:hAnsi="Arial" w:cs="Arial"/>
          <w:color w:val="000000"/>
          <w:sz w:val="28"/>
          <w:szCs w:val="28"/>
        </w:rPr>
        <w:t xml:space="preserve">. Потенциометрическое определение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pH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и требованиями, указанными в частной фармакопейной статье и (или) нормативном документе по качеству.</w:t>
      </w:r>
    </w:p>
    <w:p w:rsidR="00C44501" w:rsidRDefault="00C44501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51" w:name="014801"/>
      <w:bookmarkEnd w:id="51"/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C5ED6">
        <w:rPr>
          <w:rFonts w:ascii="Arial" w:hAnsi="Arial" w:cs="Arial"/>
          <w:color w:val="000000"/>
          <w:sz w:val="28"/>
          <w:szCs w:val="28"/>
        </w:rPr>
        <w:t>Видимые механические включения. Проводят испытание для лекарственных препаратов для парентерального применения на видимые механические включения.</w:t>
      </w:r>
    </w:p>
    <w:p w:rsidR="00C44501" w:rsidRDefault="00C44501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52" w:name="014802"/>
      <w:bookmarkEnd w:id="52"/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C5ED6">
        <w:rPr>
          <w:rFonts w:ascii="Arial" w:hAnsi="Arial" w:cs="Arial"/>
          <w:color w:val="000000"/>
          <w:sz w:val="28"/>
          <w:szCs w:val="28"/>
        </w:rPr>
        <w:t>Невидимые механические включения. Испытание проводят для лекарственных препаратов для парентерального применения в соответствии с общей фармакопейной </w:t>
      </w:r>
      <w:hyperlink r:id="rId21" w:history="1">
        <w:r w:rsidRPr="001C5ED6">
          <w:rPr>
            <w:rStyle w:val="a3"/>
            <w:rFonts w:ascii="Arial" w:hAnsi="Arial" w:cs="Arial"/>
            <w:color w:val="3C5F87"/>
            <w:sz w:val="28"/>
            <w:szCs w:val="28"/>
            <w:bdr w:val="none" w:sz="0" w:space="0" w:color="auto" w:frame="1"/>
          </w:rPr>
          <w:t>статьей 2.1.9.10</w:t>
        </w:r>
      </w:hyperlink>
      <w:r w:rsidRPr="001C5ED6">
        <w:rPr>
          <w:rFonts w:ascii="Arial" w:hAnsi="Arial" w:cs="Arial"/>
          <w:color w:val="000000"/>
          <w:sz w:val="28"/>
          <w:szCs w:val="28"/>
        </w:rPr>
        <w:t>. Механические включения: невидимые частицы.</w:t>
      </w:r>
    </w:p>
    <w:p w:rsidR="00C44501" w:rsidRDefault="00C44501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53" w:name="014803"/>
      <w:bookmarkEnd w:id="53"/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C5ED6">
        <w:rPr>
          <w:rFonts w:ascii="Arial" w:hAnsi="Arial" w:cs="Arial"/>
          <w:color w:val="000000"/>
          <w:sz w:val="28"/>
          <w:szCs w:val="28"/>
        </w:rPr>
        <w:t>Однородность дозированных единиц. Испытание проводят в соответствии с общей фармакопейной </w:t>
      </w:r>
      <w:hyperlink r:id="rId22" w:history="1">
        <w:r w:rsidRPr="001C5ED6">
          <w:rPr>
            <w:rStyle w:val="a3"/>
            <w:rFonts w:ascii="Arial" w:hAnsi="Arial" w:cs="Arial"/>
            <w:color w:val="3C5F87"/>
            <w:sz w:val="28"/>
            <w:szCs w:val="28"/>
            <w:bdr w:val="none" w:sz="0" w:space="0" w:color="auto" w:frame="1"/>
          </w:rPr>
          <w:t>статьей 2.1.9.14</w:t>
        </w:r>
      </w:hyperlink>
      <w:r w:rsidRPr="001C5ED6">
        <w:rPr>
          <w:rFonts w:ascii="Arial" w:hAnsi="Arial" w:cs="Arial"/>
          <w:color w:val="000000"/>
          <w:sz w:val="28"/>
          <w:szCs w:val="28"/>
        </w:rPr>
        <w:t xml:space="preserve">. Однородность дозированных единиц для лекарственных препаратов для </w:t>
      </w:r>
      <w:r w:rsidRPr="001C5ED6">
        <w:rPr>
          <w:rFonts w:ascii="Arial" w:hAnsi="Arial" w:cs="Arial"/>
          <w:color w:val="000000"/>
          <w:sz w:val="28"/>
          <w:szCs w:val="28"/>
        </w:rPr>
        <w:lastRenderedPageBreak/>
        <w:t xml:space="preserve">парентерального применения в виде дозированных лекарственных форм или выпускаемых в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однодозовой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упаковке.</w:t>
      </w:r>
    </w:p>
    <w:p w:rsidR="00C44501" w:rsidRDefault="00C44501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54" w:name="014804"/>
      <w:bookmarkEnd w:id="54"/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Осмоляльность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. Для лекарственных препаратов для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инфузий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определяют значение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осмолярности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или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осмоляльности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в соответствии с общей фармакопейной </w:t>
      </w:r>
      <w:hyperlink r:id="rId23" w:history="1">
        <w:r w:rsidRPr="001C5ED6">
          <w:rPr>
            <w:rStyle w:val="a3"/>
            <w:rFonts w:ascii="Arial" w:hAnsi="Arial" w:cs="Arial"/>
            <w:color w:val="3C5F87"/>
            <w:sz w:val="28"/>
            <w:szCs w:val="28"/>
            <w:bdr w:val="none" w:sz="0" w:space="0" w:color="auto" w:frame="1"/>
          </w:rPr>
          <w:t>статьей 2.1.2.32</w:t>
        </w:r>
      </w:hyperlink>
      <w:r w:rsidRPr="001C5ED6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Осмоляльность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и требованиями, указанными в частной фармакопейной статье и (или) нормативном документе по качеству.</w:t>
      </w:r>
    </w:p>
    <w:p w:rsidR="00C44501" w:rsidRDefault="00C44501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55" w:name="014805"/>
      <w:bookmarkEnd w:id="55"/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C5ED6">
        <w:rPr>
          <w:rFonts w:ascii="Arial" w:hAnsi="Arial" w:cs="Arial"/>
          <w:color w:val="000000"/>
          <w:sz w:val="28"/>
          <w:szCs w:val="28"/>
        </w:rPr>
        <w:t>Извлекаемый объем. Испытание проводят для лекарственных препаратов для парентерального применения в соответствии с общей фармакопейной </w:t>
      </w:r>
      <w:hyperlink r:id="rId24" w:history="1">
        <w:r w:rsidRPr="001C5ED6">
          <w:rPr>
            <w:rStyle w:val="a3"/>
            <w:rFonts w:ascii="Arial" w:hAnsi="Arial" w:cs="Arial"/>
            <w:color w:val="3C5F87"/>
            <w:sz w:val="28"/>
            <w:szCs w:val="28"/>
            <w:bdr w:val="none" w:sz="0" w:space="0" w:color="auto" w:frame="1"/>
          </w:rPr>
          <w:t>статьей 2.1.9.9</w:t>
        </w:r>
      </w:hyperlink>
      <w:r w:rsidRPr="001C5ED6">
        <w:rPr>
          <w:rFonts w:ascii="Arial" w:hAnsi="Arial" w:cs="Arial"/>
          <w:color w:val="000000"/>
          <w:sz w:val="28"/>
          <w:szCs w:val="28"/>
        </w:rPr>
        <w:t>. Испытание на извлекаемый объем парентеральных лекарственных препаратов.</w:t>
      </w:r>
    </w:p>
    <w:p w:rsidR="00C44501" w:rsidRDefault="00C44501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56" w:name="014806"/>
      <w:bookmarkEnd w:id="56"/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C5ED6">
        <w:rPr>
          <w:rFonts w:ascii="Arial" w:hAnsi="Arial" w:cs="Arial"/>
          <w:color w:val="000000"/>
          <w:sz w:val="28"/>
          <w:szCs w:val="28"/>
        </w:rPr>
        <w:t>Дополнительные испытания, указанные ниже, определяются видом лекарственной формы лекарственного препарата и применяются к определенным лекарственным препаратам для парентерального применения.</w:t>
      </w:r>
    </w:p>
    <w:p w:rsidR="00C44501" w:rsidRDefault="00C44501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57" w:name="014807"/>
      <w:bookmarkEnd w:id="57"/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58" w:name="_GoBack"/>
      <w:bookmarkEnd w:id="58"/>
      <w:r w:rsidRPr="001C5ED6">
        <w:rPr>
          <w:rFonts w:ascii="Arial" w:hAnsi="Arial" w:cs="Arial"/>
          <w:color w:val="000000"/>
          <w:sz w:val="28"/>
          <w:szCs w:val="28"/>
        </w:rPr>
        <w:t>Лекарственные препараты для парентерального применения, выпускаемые в виде лекарственной формы Растворы должны соответствовать общей фармакопейной статье 2.5.1.25. Растворы и требованиям, указанным в частных фармакопейных статьях и (или) нормативных документах по качеству.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59" w:name="014808"/>
      <w:bookmarkEnd w:id="59"/>
      <w:r w:rsidRPr="001C5ED6">
        <w:rPr>
          <w:rFonts w:ascii="Arial" w:hAnsi="Arial" w:cs="Arial"/>
          <w:color w:val="000000"/>
          <w:sz w:val="28"/>
          <w:szCs w:val="28"/>
        </w:rPr>
        <w:t>Лекарственные препараты для парентерального применения, выпускаемые в виде мягких лекарственных форм, должны соответствовать общей фармакопейной статье 2.5.1.40. Мягкие лекарственные формы и требованиям, указанным в частных фармакопейных статьях и (или) нормативных документах по качеству.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60" w:name="014809"/>
      <w:bookmarkEnd w:id="60"/>
      <w:r w:rsidRPr="001C5ED6">
        <w:rPr>
          <w:rFonts w:ascii="Arial" w:hAnsi="Arial" w:cs="Arial"/>
          <w:color w:val="000000"/>
          <w:sz w:val="28"/>
          <w:szCs w:val="28"/>
        </w:rPr>
        <w:lastRenderedPageBreak/>
        <w:t xml:space="preserve">Лекарственные препараты, представляющие собой Концентраты, предназначенные для приготовления лекарственных препаратов для инъекций или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инфузий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>, должны соответствовать общей фармакопейной статье 2.5.1.12. Концентраты, и требованиям, указанным в частных фармакопейных статьях и (или) нормативных документах по качеству.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61" w:name="014810"/>
      <w:bookmarkEnd w:id="61"/>
      <w:r w:rsidRPr="001C5ED6">
        <w:rPr>
          <w:rFonts w:ascii="Arial" w:hAnsi="Arial" w:cs="Arial"/>
          <w:color w:val="000000"/>
          <w:sz w:val="28"/>
          <w:szCs w:val="28"/>
        </w:rPr>
        <w:t xml:space="preserve">Лекарственные препараты, представляющие собой Порошки, предназначенные для приготовления лекарственных препаратов для инъекций или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инфузий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или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Лиофилизаты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, предназначенные для приготовления лекарственных препаратов для инъекций или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инфузий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, должны соответствовать общей фармакопейной статье 2.5.1.24. Порошки (исключая показатель Размер частиц) или общей фармакопейной статьи 2.5.1.14.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Лиофилизаты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и требованиям, указанным в частных фармакопейных статьях и (или) нормативных документах по качеству.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62" w:name="014811"/>
      <w:bookmarkEnd w:id="62"/>
      <w:r w:rsidRPr="001C5ED6">
        <w:rPr>
          <w:rFonts w:ascii="Arial" w:hAnsi="Arial" w:cs="Arial"/>
          <w:color w:val="000000"/>
          <w:sz w:val="28"/>
          <w:szCs w:val="28"/>
        </w:rPr>
        <w:t>Лекарственные препараты, представляющие собой Суспензии для инъекций, должны соответствовать общей фармакопейной статье 2.5.1.33. Суспензии и требованиям, указанным в частных фармакопейных статьях и (или) нормативных документах по качеству.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63" w:name="014812"/>
      <w:bookmarkEnd w:id="63"/>
      <w:r w:rsidRPr="001C5ED6">
        <w:rPr>
          <w:rFonts w:ascii="Arial" w:hAnsi="Arial" w:cs="Arial"/>
          <w:color w:val="000000"/>
          <w:sz w:val="28"/>
          <w:szCs w:val="28"/>
        </w:rPr>
        <w:t xml:space="preserve">Лекарственные препараты, представляющие собой Эмульсии для инъекций или Эмульсии для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инфузий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должны соответствовать общей фармакопейной статье 2.5.1.39. Эмульсии и требованиям, указанным в частных фармакопейных статьях и (или) нормативных документах по качеству.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64" w:name="014813"/>
      <w:bookmarkEnd w:id="64"/>
      <w:r w:rsidRPr="001C5ED6">
        <w:rPr>
          <w:rFonts w:ascii="Arial" w:hAnsi="Arial" w:cs="Arial"/>
          <w:color w:val="000000"/>
          <w:sz w:val="28"/>
          <w:szCs w:val="28"/>
        </w:rPr>
        <w:t>Лекарственные препараты для парентерального применения, представляющие собой Имплантаты, должны соответствовать общей фармакопейной статье 2.5.1.8. Имплантаты и требованиям, указанным в частных фармакопейных статьях и (или) нормативных документах по качеству.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65" w:name="014814"/>
      <w:bookmarkEnd w:id="65"/>
      <w:r w:rsidRPr="001C5ED6">
        <w:rPr>
          <w:rFonts w:ascii="Arial" w:hAnsi="Arial" w:cs="Arial"/>
          <w:color w:val="000000"/>
          <w:sz w:val="28"/>
          <w:szCs w:val="28"/>
        </w:rPr>
        <w:lastRenderedPageBreak/>
        <w:t xml:space="preserve">Таблетки для имплантации должны соответствовать общей фармакопейной статье 2.5.1.34. Таблетки (исключая показатель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Распадаемость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>) и требованиям, указанным в частных фармакопейных статьях и (или) нормативных документах по качеству. Отсутствие показателя Растворение при испытании Таблеток для имплантации должно быть обосновано.</w:t>
      </w:r>
    </w:p>
    <w:p w:rsidR="001C5ED6" w:rsidRPr="001C5ED6" w:rsidRDefault="001C5ED6" w:rsidP="001C5ED6">
      <w:pPr>
        <w:spacing w:line="360" w:lineRule="auto"/>
        <w:ind w:firstLine="709"/>
        <w:jc w:val="both"/>
        <w:rPr>
          <w:sz w:val="28"/>
          <w:szCs w:val="28"/>
        </w:rPr>
      </w:pP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30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C5ED6">
        <w:rPr>
          <w:rFonts w:ascii="Arial" w:hAnsi="Arial" w:cs="Arial"/>
          <w:color w:val="000000"/>
          <w:sz w:val="28"/>
          <w:szCs w:val="28"/>
        </w:rPr>
        <w:t>УПАКОВКА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66" w:name="014816"/>
      <w:bookmarkEnd w:id="66"/>
      <w:r w:rsidRPr="001C5ED6">
        <w:rPr>
          <w:rFonts w:ascii="Arial" w:hAnsi="Arial" w:cs="Arial"/>
          <w:color w:val="000000"/>
          <w:sz w:val="28"/>
          <w:szCs w:val="28"/>
        </w:rPr>
        <w:t xml:space="preserve">Лекарственные препараты для парентерального применения выпускают в стерильных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однодозовых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(ампулы, картриджи,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преднаполненные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шприцы, индивидуальная упаковка имплантатов и др.) или в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многодозовых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(бутылки, флаконы и др.) воздухонепроницаемых упаковках с контролем первого вскрытия.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67" w:name="014817"/>
      <w:bookmarkEnd w:id="67"/>
      <w:r w:rsidRPr="001C5ED6">
        <w:rPr>
          <w:rFonts w:ascii="Arial" w:hAnsi="Arial" w:cs="Arial"/>
          <w:color w:val="000000"/>
          <w:sz w:val="28"/>
          <w:szCs w:val="28"/>
        </w:rPr>
        <w:t xml:space="preserve">Объем лекарственных препаратов, представляющих собой растворы для парентерального применения в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однодозовой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упаковке, должен быть достаточным для однократного введения, но не должен превышать 1 л.</w:t>
      </w:r>
    </w:p>
    <w:p w:rsidR="001C5ED6" w:rsidRPr="001C5ED6" w:rsidRDefault="001C5ED6" w:rsidP="001C5E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68" w:name="014818"/>
      <w:bookmarkEnd w:id="68"/>
      <w:r w:rsidRPr="001C5ED6">
        <w:rPr>
          <w:rFonts w:ascii="Arial" w:hAnsi="Arial" w:cs="Arial"/>
          <w:color w:val="000000"/>
          <w:sz w:val="28"/>
          <w:szCs w:val="28"/>
        </w:rPr>
        <w:t xml:space="preserve">Лекарственные препараты для парентерального применения, предназначенные для внутриполостных, внутрисердечных, внутриглазных инъекций или инъекций, имеющих доступ к спинномозговой жидкости, должны выпускаться только в </w:t>
      </w:r>
      <w:proofErr w:type="spellStart"/>
      <w:r w:rsidRPr="001C5ED6">
        <w:rPr>
          <w:rFonts w:ascii="Arial" w:hAnsi="Arial" w:cs="Arial"/>
          <w:color w:val="000000"/>
          <w:sz w:val="28"/>
          <w:szCs w:val="28"/>
        </w:rPr>
        <w:t>однодозовых</w:t>
      </w:r>
      <w:proofErr w:type="spellEnd"/>
      <w:r w:rsidRPr="001C5ED6">
        <w:rPr>
          <w:rFonts w:ascii="Arial" w:hAnsi="Arial" w:cs="Arial"/>
          <w:color w:val="000000"/>
          <w:sz w:val="28"/>
          <w:szCs w:val="28"/>
        </w:rPr>
        <w:t xml:space="preserve"> упаковках.</w:t>
      </w:r>
    </w:p>
    <w:p w:rsidR="001C5ED6" w:rsidRPr="001C5ED6" w:rsidRDefault="001C5ED6" w:rsidP="001C5ED6">
      <w:pPr>
        <w:spacing w:line="360" w:lineRule="auto"/>
        <w:ind w:firstLine="709"/>
        <w:jc w:val="both"/>
        <w:rPr>
          <w:sz w:val="28"/>
          <w:szCs w:val="28"/>
        </w:rPr>
      </w:pPr>
    </w:p>
    <w:sectPr w:rsidR="001C5ED6" w:rsidRPr="001C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F0"/>
    <w:rsid w:val="000336D7"/>
    <w:rsid w:val="001C5ED6"/>
    <w:rsid w:val="003E3EDE"/>
    <w:rsid w:val="004977A7"/>
    <w:rsid w:val="00C44501"/>
    <w:rsid w:val="00CC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A8A8"/>
  <w15:chartTrackingRefBased/>
  <w15:docId w15:val="{8B7E84C2-A8F5-4008-915E-B480762E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3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36D7"/>
    <w:rPr>
      <w:color w:val="0000FF"/>
      <w:u w:val="single"/>
    </w:rPr>
  </w:style>
  <w:style w:type="paragraph" w:customStyle="1" w:styleId="pcenter">
    <w:name w:val="pcenter"/>
    <w:basedOn w:val="a"/>
    <w:rsid w:val="003E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3E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C44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654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reshenie-kollegii-evraziiskoi-ekonomicheskoi-komissii-ot-11082020_5/farmakopeia-evraziiskogo-ekonomicheskogo-soiuza/" TargetMode="External"/><Relationship Id="rId13" Type="http://schemas.openxmlformats.org/officeDocument/2006/relationships/hyperlink" Target="https://sudact.ru/law/reshenie-kollegii-evraziiskoi-ekonomicheskoi-komissii-ot-11082020_5/farmakopeia-evraziiskogo-ekonomicheskogo-soiuza/2/2.1/2.1.6/2.1.6.2/" TargetMode="External"/><Relationship Id="rId18" Type="http://schemas.openxmlformats.org/officeDocument/2006/relationships/hyperlink" Target="https://sudact.ru/law/reshenie-kollegii-evraziiskoi-ekonomicheskoi-komissii-ot-11082020_5/farmakopeia-evraziiskogo-ekonomicheskogo-soiuza/2/2.1/2.1.6/2.1.6.4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udact.ru/law/reshenie-kollegii-evraziiskoi-ekonomicheskoi-komissii-ot-11082020_5/farmakopeia-evraziiskogo-ekonomicheskogo-soiuza/2/2.1/2.1.9/2.1.9.10/" TargetMode="External"/><Relationship Id="rId7" Type="http://schemas.openxmlformats.org/officeDocument/2006/relationships/hyperlink" Target="https://sudact.ru/law/soglashenie-o-edinykh-printsipakh-i-pravilakh-obrashcheniia/" TargetMode="External"/><Relationship Id="rId12" Type="http://schemas.openxmlformats.org/officeDocument/2006/relationships/hyperlink" Target="https://sudact.ru/law/reshenie-kollegii-evraziiskoi-ekonomicheskoi-komissii-ot-11082020_5/farmakopeia-evraziiskogo-ekonomicheskogo-soiuza/2/2.1/2.1.6/2.1.6.8/" TargetMode="External"/><Relationship Id="rId17" Type="http://schemas.openxmlformats.org/officeDocument/2006/relationships/hyperlink" Target="https://sudact.ru/law/reshenie-kollegii-evraziiskoi-ekonomicheskoi-komissii-ot-11082020_5/farmakopeia-evraziiskogo-ekonomicheskogo-soiuza/2/2.1/2.1.6/2.1.6.3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udact.ru/law/reshenie-kollegii-evraziiskoi-ekonomicheskoi-komissii-ot-11082020_5/farmakopeia-evraziiskogo-ekonomicheskogo-soiuza/2/2.1/2.1.6/2.1.6.2/" TargetMode="External"/><Relationship Id="rId20" Type="http://schemas.openxmlformats.org/officeDocument/2006/relationships/hyperlink" Target="https://sudact.ru/law/reshenie-kollegii-evraziiskoi-ekonomicheskoi-komissii-ot-11082020_5/farmakopeia-evraziiskogo-ekonomicheskogo-soiuza/2/2.1/2.1.2/2.1.2.3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dact.ru/law/dogovor-o-evraziiskom-ekonomicheskom-soiuze-podpisan-v/prilozhenie-n-12_1/iii_7/" TargetMode="External"/><Relationship Id="rId11" Type="http://schemas.openxmlformats.org/officeDocument/2006/relationships/hyperlink" Target="https://sudact.ru/law/reshenie-kollegii-evraziiskoi-ekonomicheskoi-komissii-ot-11082020_5/farmakopeia-evraziiskogo-ekonomicheskogo-soiuza/2/2.1/2.1.6/2.1.6.1/" TargetMode="External"/><Relationship Id="rId24" Type="http://schemas.openxmlformats.org/officeDocument/2006/relationships/hyperlink" Target="https://sudact.ru/law/reshenie-kollegii-evraziiskoi-ekonomicheskoi-komissii-ot-11082020_5/farmakopeia-evraziiskogo-ekonomicheskogo-soiuza/2/2.1/2.1.9/2.1.9.9/" TargetMode="External"/><Relationship Id="rId5" Type="http://schemas.openxmlformats.org/officeDocument/2006/relationships/hyperlink" Target="https://sudact.ru/law/dogovor-o-evraziiskom-ekonomicheskom-soiuze-podpisan-v/dogovor/chast-vtoraia/razdel-xi_1/statia-56/" TargetMode="External"/><Relationship Id="rId15" Type="http://schemas.openxmlformats.org/officeDocument/2006/relationships/hyperlink" Target="https://sudact.ru/law/reshenie-kollegii-evraziiskoi-ekonomicheskoi-komissii-ot-11082020_5/farmakopeia-evraziiskogo-ekonomicheskogo-soiuza/2/2.1/2.1.6/2.1.6.8/" TargetMode="External"/><Relationship Id="rId23" Type="http://schemas.openxmlformats.org/officeDocument/2006/relationships/hyperlink" Target="https://sudact.ru/law/reshenie-kollegii-evraziiskoi-ekonomicheskoi-komissii-ot-11082020_5/farmakopeia-evraziiskogo-ekonomicheskogo-soiuza/2/2.1/2.1.2/2.1.2.32/" TargetMode="External"/><Relationship Id="rId10" Type="http://schemas.openxmlformats.org/officeDocument/2006/relationships/hyperlink" Target="https://sudact.ru/law/reshenie-kollegii-evraziiskoi-ekonomicheskoi-komissii-ot-11082020_5/farmakopeia-evraziiskogo-ekonomicheskogo-soiuza/2/2.1/2.1.6/2.1.6.1/" TargetMode="External"/><Relationship Id="rId19" Type="http://schemas.openxmlformats.org/officeDocument/2006/relationships/hyperlink" Target="https://sudact.ru/law/reshenie-kollegii-evraziiskoi-ekonomicheskoi-komissii-ot-11082020_5/farmakopeia-evraziiskogo-ekonomicheskogo-soiuza/2/2.1/2.1.6/2.1.6.5/" TargetMode="External"/><Relationship Id="rId4" Type="http://schemas.openxmlformats.org/officeDocument/2006/relationships/hyperlink" Target="https://sudact.ru/law/dogovor-o-evraziiskom-ekonomicheskom-soiuze-podpisan-v/dogovor/chast-vtoraia/razdel-vii/statia-30/" TargetMode="External"/><Relationship Id="rId9" Type="http://schemas.openxmlformats.org/officeDocument/2006/relationships/hyperlink" Target="https://sudact.ru/law/reshenie-kollegii-evraziiskoi-ekonomicheskoi-komissii-ot-11082020_5/farmakopeia-evraziiskogo-ekonomicheskogo-soiuza/1/1.1/" TargetMode="External"/><Relationship Id="rId14" Type="http://schemas.openxmlformats.org/officeDocument/2006/relationships/hyperlink" Target="https://sudact.ru/law/reshenie-kollegii-evraziiskoi-ekonomicheskoi-komissii-ot-11082020_5/farmakopeia-evraziiskogo-ekonomicheskogo-soiuza/2/2.1/2.1.6/2.1.6.1/" TargetMode="External"/><Relationship Id="rId22" Type="http://schemas.openxmlformats.org/officeDocument/2006/relationships/hyperlink" Target="https://sudact.ru/law/reshenie-kollegii-evraziiskoi-ekonomicheskoi-komissii-ot-11082020_5/farmakopeia-evraziiskogo-ekonomicheskogo-soiuza/2/2.1/2.1.9/2.1.9.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3254</Words>
  <Characters>18552</Characters>
  <Application>Microsoft Office Word</Application>
  <DocSecurity>0</DocSecurity>
  <Lines>154</Lines>
  <Paragraphs>43</Paragraphs>
  <ScaleCrop>false</ScaleCrop>
  <Company/>
  <LinksUpToDate>false</LinksUpToDate>
  <CharactersWithSpaces>21763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7</cp:revision>
  <dcterms:created xsi:type="dcterms:W3CDTF">2025-02-12T11:27:00Z</dcterms:created>
  <dcterms:modified xsi:type="dcterms:W3CDTF">2025-02-12T11:39:00Z</dcterms:modified>
</cp:coreProperties>
</file>