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286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2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4. УЧЕБНЫЙ ПЛАН</w:t>
      </w:r>
    </w:p>
    <w:p w14:paraId="03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дополнительной профессиональной программы повышения квалификации</w:t>
      </w:r>
    </w:p>
    <w:p w14:paraId="04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«Экстренные состояния в акушерстве» для врачей по специальности «Акушерство и гинекология» (срок обучения 72 академических часа)</w:t>
      </w:r>
    </w:p>
    <w:p w14:paraId="05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6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Цель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3"/>
        </w:rPr>
        <w:t>совершенствование и систематизация теоретических знаний, повышение профессионального уровня в рамках имеющейся квалификации, совершенствование умений и необходимых профессиональных навыков по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диагностике и оказании медицинской помощи при критических состояниях в акушерстве и гинекологии в соответствии с действующими федеральными клиническими рекомендациями (протоколами лечения), порядками, стандартами оказания медицинской помощи беременным, роженицам, родильницам</w:t>
      </w:r>
    </w:p>
    <w:p w14:paraId="07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Категория слушателей</w:t>
      </w:r>
      <w:r>
        <w:rPr>
          <w:rFonts w:ascii="Times New Roman" w:hAnsi="Times New Roman"/>
          <w:color w:val="000000"/>
          <w:sz w:val="24"/>
        </w:rPr>
        <w:t>: врачи по специальности: «Акушерство и гинекология».</w:t>
      </w:r>
    </w:p>
    <w:p w14:paraId="08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Срок обучения/трудоемкость: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72 академических часа.</w:t>
      </w:r>
    </w:p>
    <w:p w14:paraId="09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Форма обучения: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очная</w:t>
      </w:r>
    </w:p>
    <w:p w14:paraId="0A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Режим занятий: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6 академических часов в день.</w:t>
      </w:r>
      <w:r>
        <w:rPr>
          <w:rFonts w:ascii="Times New Roman" w:hAnsi="Times New Roman"/>
          <w:color w:val="000000"/>
          <w:sz w:val="24"/>
        </w:rPr>
        <w:t>                       </w:t>
      </w:r>
    </w:p>
    <w:p w14:paraId="0B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tbl>
      <w:tblPr>
        <w:tblBorders>
          <w:top w:color="000000" w:val="single"/>
          <w:left w:color="000000" w:val="single"/>
          <w:bottom w:color="000000" w:val="single"/>
          <w:right w:color="000000" w:val="single"/>
        </w:tblBorders>
        <w:tblLayout w:type="fixed"/>
      </w:tblPr>
      <w:tblGrid>
        <w:gridCol w:w="697"/>
        <w:gridCol w:w="2119"/>
        <w:gridCol w:w="1751"/>
        <w:gridCol w:w="2616"/>
        <w:gridCol w:w="757"/>
        <w:gridCol w:w="804"/>
        <w:gridCol w:w="1856"/>
      </w:tblGrid>
      <w:tr>
        <w:tc>
          <w:tcPr>
            <w:tcW w:type="dxa" w:w="69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Segoe UI Symbol" w:hAnsi="Segoe UI Symbol"/>
                <w:b w:val="1"/>
                <w:color w:val="000000"/>
                <w:sz w:val="20"/>
              </w:rPr>
              <w:t>№</w:t>
            </w:r>
          </w:p>
          <w:p w14:paraId="0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п/п</w:t>
            </w:r>
          </w:p>
        </w:tc>
        <w:tc>
          <w:tcPr>
            <w:tcW w:type="dxa" w:w="2119"/>
            <w:vMerge w:val="restart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модулей, тем</w:t>
            </w:r>
          </w:p>
          <w:p w14:paraId="0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(разделов, тем)</w:t>
            </w:r>
          </w:p>
        </w:tc>
        <w:tc>
          <w:tcPr>
            <w:tcW w:type="dxa" w:w="1751"/>
            <w:vMerge w:val="restart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Трудоемкость (ак.час)</w:t>
            </w:r>
          </w:p>
        </w:tc>
        <w:tc>
          <w:tcPr>
            <w:tcW w:type="dxa" w:w="4177"/>
            <w:gridSpan w:val="3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1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 обучения</w:t>
            </w:r>
          </w:p>
        </w:tc>
        <w:tc>
          <w:tcPr>
            <w:tcW w:type="dxa" w:w="1856"/>
            <w:vMerge w:val="restart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2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контроля</w:t>
            </w:r>
          </w:p>
        </w:tc>
      </w:tr>
      <w:tr>
        <w:tc>
          <w:tcPr>
            <w:tcW w:type="dxa" w:w="69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  <w:tc>
          <w:tcPr>
            <w:tcW w:type="dxa" w:w="2119"/>
            <w:gridSpan w:val="1"/>
            <w:vMerge w:val="continue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Лекции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ПЗ</w:t>
            </w:r>
          </w:p>
          <w:p w14:paraId="1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1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1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1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vAlign w:val="top"/>
          </w:tcPr>
          <w:p w14:paraId="1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Стажи</w:t>
            </w:r>
          </w:p>
          <w:p w14:paraId="1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ровка</w:t>
            </w:r>
          </w:p>
        </w:tc>
        <w:tc>
          <w:tcPr>
            <w:tcW w:type="dxa" w:w="1856"/>
            <w:gridSpan w:val="1"/>
            <w:vMerge w:val="continue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1.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УМ-1 «Критические состояния в акушерстве»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D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72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E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38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F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0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15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Ситуационные задачи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Гипертензивные расстройства во время беременности. Преэклампсия. Эклампсия.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5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6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7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Тромботическая микроангиопатия. HELLP-синдром. Острый жировой гепатоз беременных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C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D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E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Эмболия амниотической жидкостью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3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4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5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Массивная тромбоэмболия легочной артерии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A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B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C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Акушерские кровотечения (ПОНРП, предлежание плаценты, разрыв матки)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1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2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3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Кровотечения в последовом и послеродовом периодах.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8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9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A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Массивная кровопотеря. Геморрагический шок, ДВС-синдром.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F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0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1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Cепсис или тяжелая системная инфекция, септический шок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6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7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8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Врастание плаценты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D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E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F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Задержка роста плода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4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5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1..11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Оперативное акушерство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A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B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14:paraId="6C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D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E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аттестация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2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4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5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6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Тесты</w:t>
            </w:r>
          </w:p>
        </w:tc>
      </w:tr>
      <w:tr>
        <w:tc>
          <w:tcPr>
            <w:tcW w:type="dxa" w:w="697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2119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  <w:tc>
          <w:tcPr>
            <w:tcW w:type="dxa" w:w="17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9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72</w:t>
            </w:r>
          </w:p>
        </w:tc>
        <w:tc>
          <w:tcPr>
            <w:tcW w:type="dxa" w:w="261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A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75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80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185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7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</w:tbl>
    <w:p w14:paraId="7E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 </w:t>
      </w:r>
    </w:p>
    <w:sectPr>
      <w:pgSz w:h="16848" w:orient="portrait" w:w="11908"/>
      <w:pgMar w:bottom="850" w:left="850" w:right="45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2025-10-20T09:34:36Z</dcterms:modified>
</cp:coreProperties>
</file>