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Отпуск рецептурных препаратов — сложная профессиональная задача, которую могут выполнять только квалифицированные специалисты: фармацевты и провизоры. В отличие от продажи безрецептурных лекарств, отпуск по рецепту включает его фармацевтическую экспертизу. В статье расскажем, на что обращать внимание при проверке разных рецептурных бланков, какие нормативные акты служат опорой при принятии решений, как избежать ошибок при отпуске препаратов ПКУ. Даже если вы профессионал и для вас экспертиза рецептов стала рутиной, рекомендуем освежить знания.</w:t>
      </w:r>
    </w:p>
    <w:p w:rsidR="002D219D" w:rsidRPr="002D219D" w:rsidRDefault="002D219D" w:rsidP="002D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Проверка рецепта — неотъемлемая часть работы фармацевта. Фармацевтическая экспертиза рецептов относится к действиям провизора и фармацевта в рамках трудовой функции (см.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Профстандарты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«</w:t>
      </w:r>
      <w:hyperlink r:id="rId5" w:tgtFrame="_blank" w:history="1">
        <w:r w:rsidRPr="002D21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Провизор</w:t>
        </w:r>
      </w:hyperlink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» и «</w:t>
      </w:r>
      <w:hyperlink r:id="rId6" w:tgtFrame="_blank" w:history="1">
        <w:r w:rsidRPr="002D21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Фармацевт</w:t>
        </w:r>
      </w:hyperlink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»).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Первостольник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должен знать положения нормативных актов, которые регулируют назначение рецептурных лекарств и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медизделий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 порядок их отпуска, требования к формам рецептурных бланков.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Что такое фармацевтическая экспертиза рецепта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Фармацевтическая экспертиза рецепта — 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оценка рецептурного бланка, который предъявил посетитель аптеки, на соответствие правилам оформления рецептов, назначения и отпуска лекарственных препаратов. 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Цель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фармэкспертизы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рецепта — определить:</w:t>
      </w:r>
    </w:p>
    <w:p w:rsidR="002D219D" w:rsidRPr="002D219D" w:rsidRDefault="002D219D" w:rsidP="002D2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подходит ли данная форма рецептурного бланка для назначения конкретного препарата;</w:t>
      </w:r>
    </w:p>
    <w:p w:rsidR="002D219D" w:rsidRPr="002D219D" w:rsidRDefault="002D219D" w:rsidP="002D2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корректно ли внесены необходимые реквизиты;</w:t>
      </w:r>
    </w:p>
    <w:p w:rsidR="002D219D" w:rsidRPr="002D219D" w:rsidRDefault="002D219D" w:rsidP="002D2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соблюдены ли нормы отпуска лекарств;</w:t>
      </w:r>
    </w:p>
    <w:p w:rsidR="002D219D" w:rsidRPr="002D219D" w:rsidRDefault="002D219D" w:rsidP="002D2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не истек ли срок действия рецептурного бланка.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Нормативные акты, на которые следует опираться при фармацевтической экспертизе рецептов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1"/>
        <w:gridCol w:w="5248"/>
      </w:tblGrid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акт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утвердил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2D21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Приказ</w:t>
              </w:r>
            </w:hyperlink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Минздрава России от 24.11.2021 № 1094н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назначения лекарственных препаратов</w:t>
            </w:r>
          </w:p>
          <w:p w:rsidR="002D219D" w:rsidRPr="002D219D" w:rsidRDefault="002D219D" w:rsidP="002D21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рецептурных бланков</w:t>
            </w:r>
          </w:p>
          <w:p w:rsidR="002D219D" w:rsidRPr="002D219D" w:rsidRDefault="002D219D" w:rsidP="002D21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оформления, учета и хранения рецептов, в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электронных</w:t>
            </w:r>
          </w:p>
          <w:p w:rsidR="002D219D" w:rsidRPr="002D219D" w:rsidRDefault="002D219D" w:rsidP="002D21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их изготовления, распределения, регистрации, учета и хранения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2D21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Приказ</w:t>
              </w:r>
            </w:hyperlink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Минздрава России от 07.03. 2025 № 100н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отпуска лекарственных препаратов</w:t>
            </w:r>
          </w:p>
          <w:p w:rsidR="002D219D" w:rsidRPr="002D219D" w:rsidRDefault="002D219D" w:rsidP="002D21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отпуска наркотических средств и психотропных веществ (НС и ПВ)</w:t>
            </w:r>
          </w:p>
          <w:p w:rsidR="002D219D" w:rsidRPr="002D219D" w:rsidRDefault="002D219D" w:rsidP="002D21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отпуска аптеками иммунобиологических лекарственных препаратов для иммунопрофилактики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2D21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Приказ</w:t>
              </w:r>
            </w:hyperlink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Минздрава России от 01.09.2023 № 459н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 лекарственных средств, подлежащих предметно-количественному учету (далее — Перечень ПКУ, препараты ПКУ)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2D21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от 30.06.1998 № 681 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НС и ПВ и их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Списки I, II, III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2D21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от 29.12.2007 № 964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сильнодействующих и ядовитых веществ для целей Уголовного кодекса (далее — СД и ЯВ)</w:t>
            </w:r>
          </w:p>
        </w:tc>
      </w:tr>
    </w:tbl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Когда проводится фармацевтическая экспертиза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Работник первого стола выполняет фармацевтическую экспертизу рецепта при отпуске следующих лекарств: </w:t>
      </w:r>
    </w:p>
    <w:p w:rsidR="002D219D" w:rsidRPr="002D219D" w:rsidRDefault="002D219D" w:rsidP="002D21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рецептурных, то есть тех, на необходимость отпуска которых по рецепту указывает инструкция по медицинскому применению;</w:t>
      </w:r>
    </w:p>
    <w:p w:rsidR="002D219D" w:rsidRPr="002D219D" w:rsidRDefault="002D219D" w:rsidP="002D21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препаратов ПКУ;</w:t>
      </w:r>
    </w:p>
    <w:p w:rsidR="002D219D" w:rsidRPr="002D219D" w:rsidRDefault="002D219D" w:rsidP="002D21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Изготовленных в аптеке (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экстемпоральных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лекарственных форм).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Этапы фармацевтической экспертизы рецепта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Фармацевтическая экспертиза рецепта не ограничивается только его осмотром, визуальной проверкой. Она включает несколько этапов, расскажем о них подробнее.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Этап 1. Проверка формы рецептурного бланка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Формы рецептурных бланков закрепил Приказ № 1094н. Это формы №№ 107-1/у, 148-1/у-88, 107/у-НП, а также 148-1/у-04(л). Последняя применима к льготным препаратам, в статье мы не будем рассматривать ее подробно.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Чтобы определить, можно ли отпускать конкретный препарат по рецепту данной конкретной формы, нужно знать, к какой группе он относится, включен ли в Перечень ПКУ, является ли наркотическим или психотропным, а если да, — состоит ли в Списках I, II или III. Например, медработник в статусе ИП не может назначать наркотические или психотропные препараты из Список II и III (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абз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. 2 п. 7 Порядка назначения лекарственных препаратов, утв. Приказом № 1094н).</w:t>
      </w:r>
    </w:p>
    <w:p w:rsidR="002D219D" w:rsidRPr="002D219D" w:rsidRDefault="002D219D" w:rsidP="002D219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647C9F"/>
          <w:sz w:val="21"/>
          <w:szCs w:val="21"/>
          <w:lang w:eastAsia="ru-RU"/>
        </w:rPr>
      </w:pPr>
      <w:r w:rsidRPr="002D219D">
        <w:rPr>
          <w:rFonts w:ascii="Arial" w:eastAsia="Times New Roman" w:hAnsi="Arial" w:cs="Arial"/>
          <w:color w:val="647C9F"/>
          <w:sz w:val="21"/>
          <w:szCs w:val="21"/>
          <w:lang w:eastAsia="ru-RU"/>
        </w:rPr>
        <w:t>Подробнее о списках НС и ПВ, а также о работе с наркотическими и психотропными препаратами в аптеке читайте в </w:t>
      </w:r>
      <w:hyperlink r:id="rId12" w:anchor="yk1" w:history="1">
        <w:r w:rsidRPr="002D219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нашем материале</w:t>
        </w:r>
      </w:hyperlink>
      <w:r w:rsidRPr="002D219D">
        <w:rPr>
          <w:rFonts w:ascii="Arial" w:eastAsia="Times New Roman" w:hAnsi="Arial" w:cs="Arial"/>
          <w:color w:val="647C9F"/>
          <w:sz w:val="21"/>
          <w:szCs w:val="21"/>
          <w:lang w:eastAsia="ru-RU"/>
        </w:rPr>
        <w:t>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Юридический статус лекарственного препарата — один из критериев выбора формы рецептурного бланка для врача. А для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первостольника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это первый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критерией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фармацевтической экспертизы. На этом этапе можно проверить и способ изготовления рецептурного бланка.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lastRenderedPageBreak/>
        <w:t>Формы рецептурных бланков и способы их создания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2606"/>
        <w:gridCol w:w="5305"/>
      </w:tblGrid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изготовления бланка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препараты могут быть указаны на бланке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107/у-НП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Типографский, розовая бумага.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 и ПВ из Списка II, кроме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трансдермальных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и препаратов, содержащих НС в сочетании с антагонистом опиоидных рецепторов.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148-1/у-88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Типогафиский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 требований к цвету бумаги.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ПКУ (кроме тех, для которых требуется бланк иной формы);</w:t>
            </w:r>
          </w:p>
          <w:p w:rsidR="002D219D" w:rsidRPr="002D219D" w:rsidRDefault="002D219D" w:rsidP="002D21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препараты из Списка II (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трансдермальные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системы, а также препараты, содержащие НС в сочетании с антагонистом опиоидных рецепторов);</w:t>
            </w:r>
          </w:p>
          <w:p w:rsidR="002D219D" w:rsidRPr="002D219D" w:rsidRDefault="002D219D" w:rsidP="002D21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психотропные вещества из Списка III;</w:t>
            </w:r>
          </w:p>
          <w:p w:rsidR="002D219D" w:rsidRPr="002D219D" w:rsidRDefault="002D219D" w:rsidP="002D21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сильнодействующие и ядовитые вещества; </w:t>
            </w:r>
          </w:p>
          <w:p w:rsidR="002D219D" w:rsidRPr="002D219D" w:rsidRDefault="002D219D" w:rsidP="002D21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(см. подп. 2 п. 9 Порядка назначения лекарственных препаратов).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107-1/у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напечатан на принтере.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не подлежащие ПКУ;</w:t>
            </w:r>
          </w:p>
          <w:p w:rsidR="002D219D" w:rsidRPr="002D219D" w:rsidRDefault="002D219D" w:rsidP="002D219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комбинированные препараты, перечисленные в подп. 2 п. 11 Порядка назначения лекарственных препаратов.</w:t>
            </w:r>
          </w:p>
        </w:tc>
      </w:tr>
    </w:tbl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Этап 2. Проверка правильности оформления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Работник первого стола должен убедиться, что рецепт имеет все требуемые реквизиты и они оформлены корректно. Наибольшее внимание специалиста должны привлечь следующие реквизиты:</w:t>
      </w:r>
    </w:p>
    <w:p w:rsidR="002D219D" w:rsidRPr="002D219D" w:rsidRDefault="002D219D" w:rsidP="002D21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ФИО пациента (для бланка № 107/у-НП — имя и отчество полностью);</w:t>
      </w:r>
    </w:p>
    <w:p w:rsidR="002D219D" w:rsidRPr="002D219D" w:rsidRDefault="002D219D" w:rsidP="002D21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его возраст (количество полных лет — для бланка № 107/у-НП, дата рождения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—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для бланков №№ 148-1/у-88, 107-1/у, а для детей до года — возраст в месяцах)</w:t>
      </w:r>
    </w:p>
    <w:p w:rsidR="002D219D" w:rsidRPr="002D219D" w:rsidRDefault="002D219D" w:rsidP="002D21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подпись и личная печать врача;</w:t>
      </w:r>
    </w:p>
    <w:p w:rsidR="002D219D" w:rsidRPr="002D219D" w:rsidRDefault="002D219D" w:rsidP="002D21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печать медицинской организации и печать «Для рецептов».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В перечисленных полях чаще допускают ошибки. Однако и другие реквизиты рецепта следует проверить.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Таблица. Реквизиты рецептурных бланков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581"/>
        <w:gridCol w:w="2337"/>
        <w:gridCol w:w="942"/>
        <w:gridCol w:w="2297"/>
      </w:tblGrid>
      <w:tr w:rsidR="002D219D" w:rsidRPr="002D219D" w:rsidTr="002D219D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 </w:t>
            </w:r>
          </w:p>
        </w:tc>
        <w:tc>
          <w:tcPr>
            <w:tcW w:w="0" w:type="auto"/>
            <w:gridSpan w:val="2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</w:t>
            </w:r>
          </w:p>
        </w:tc>
      </w:tr>
      <w:tr w:rsidR="002D219D" w:rsidRPr="002D219D" w:rsidTr="002D219D">
        <w:trPr>
          <w:gridAfter w:val="2"/>
        </w:trPr>
        <w:tc>
          <w:tcPr>
            <w:tcW w:w="0" w:type="auto"/>
            <w:vMerge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этой формы (дополнительно к общим)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для всех форм</w:t>
            </w:r>
          </w:p>
        </w:tc>
      </w:tr>
      <w:tr w:rsidR="002D219D" w:rsidRPr="002D219D" w:rsidTr="002D219D">
        <w:trPr>
          <w:gridAfter w:val="2"/>
          <w:trHeight w:val="276"/>
        </w:trPr>
        <w:tc>
          <w:tcPr>
            <w:tcW w:w="0" w:type="auto"/>
            <w:vMerge w:val="restart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107/у-НП</w:t>
            </w:r>
          </w:p>
        </w:tc>
        <w:tc>
          <w:tcPr>
            <w:tcW w:w="0" w:type="auto"/>
            <w:vMerge w:val="restart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враче и клинике:</w:t>
            </w:r>
          </w:p>
          <w:p w:rsidR="002D219D" w:rsidRPr="002D219D" w:rsidRDefault="002D219D" w:rsidP="002D219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и отчество полностью, а не только инициалы;</w:t>
            </w:r>
          </w:p>
          <w:p w:rsidR="002D219D" w:rsidRPr="002D219D" w:rsidRDefault="002D219D" w:rsidP="002D219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«Для рецептов» обязательна;</w:t>
            </w:r>
          </w:p>
          <w:p w:rsidR="002D219D" w:rsidRPr="002D219D" w:rsidRDefault="002D219D" w:rsidP="002D219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полностью, подпись уполномоченного лица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пациенте:</w:t>
            </w:r>
          </w:p>
          <w:p w:rsidR="002D219D" w:rsidRPr="002D219D" w:rsidRDefault="002D219D" w:rsidP="002D21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и отчество полностью, а не только инициалы;</w:t>
            </w:r>
          </w:p>
          <w:p w:rsidR="002D219D" w:rsidRPr="002D219D" w:rsidRDefault="002D219D" w:rsidP="002D21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лет, а не только дата рождения;</w:t>
            </w:r>
          </w:p>
          <w:p w:rsidR="002D219D" w:rsidRPr="002D219D" w:rsidRDefault="002D219D" w:rsidP="002D21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медкарты;</w:t>
            </w:r>
          </w:p>
          <w:p w:rsidR="002D219D" w:rsidRPr="002D219D" w:rsidRDefault="002D219D" w:rsidP="002D21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полиса ОМС.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препарате:</w:t>
            </w:r>
          </w:p>
          <w:p w:rsidR="002D219D" w:rsidRPr="002D219D" w:rsidRDefault="002D219D" w:rsidP="002D219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указано прописью.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особенности:</w:t>
            </w:r>
          </w:p>
          <w:p w:rsidR="002D219D" w:rsidRPr="002D219D" w:rsidRDefault="002D219D" w:rsidP="002D21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 внесены типографским способом.</w:t>
            </w:r>
          </w:p>
        </w:tc>
        <w:tc>
          <w:tcPr>
            <w:tcW w:w="0" w:type="auto"/>
            <w:vMerge w:val="restart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враче и клинике:</w:t>
            </w:r>
          </w:p>
          <w:p w:rsidR="002D219D" w:rsidRPr="002D219D" w:rsidRDefault="002D219D" w:rsidP="002D21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 с указанием наименования, адреса и телефона;</w:t>
            </w:r>
          </w:p>
          <w:p w:rsidR="002D219D" w:rsidRPr="002D219D" w:rsidRDefault="002D219D" w:rsidP="002D21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оформления рецепта;</w:t>
            </w:r>
          </w:p>
          <w:p w:rsidR="002D219D" w:rsidRPr="002D219D" w:rsidRDefault="002D219D" w:rsidP="002D21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медработника;</w:t>
            </w:r>
          </w:p>
          <w:p w:rsidR="002D219D" w:rsidRPr="002D219D" w:rsidRDefault="002D219D" w:rsidP="002D219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личная печать и подпись.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пациенте:</w:t>
            </w:r>
          </w:p>
          <w:p w:rsidR="002D219D" w:rsidRPr="002D219D" w:rsidRDefault="002D219D" w:rsidP="002D219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инициалы;</w:t>
            </w:r>
          </w:p>
          <w:p w:rsidR="002D219D" w:rsidRPr="002D219D" w:rsidRDefault="002D219D" w:rsidP="002D219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препарате:</w:t>
            </w:r>
          </w:p>
          <w:p w:rsidR="002D219D" w:rsidRPr="002D219D" w:rsidRDefault="002D219D" w:rsidP="002D21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МНН на латинском или русском языке;</w:t>
            </w:r>
          </w:p>
          <w:p w:rsidR="002D219D" w:rsidRPr="002D219D" w:rsidRDefault="002D219D" w:rsidP="002D21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форма, дозировка, количество; </w:t>
            </w:r>
          </w:p>
          <w:p w:rsidR="002D219D" w:rsidRPr="002D219D" w:rsidRDefault="002D219D" w:rsidP="002D219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применения.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 могут быть заполнены на компьютере, кроме подписи врача.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 в рецептах недопустимы.</w:t>
            </w:r>
          </w:p>
        </w:tc>
      </w:tr>
      <w:tr w:rsidR="002D219D" w:rsidRPr="002D219D" w:rsidTr="002D219D">
        <w:tc>
          <w:tcPr>
            <w:tcW w:w="0" w:type="auto"/>
            <w:vMerge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148-1/у-88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пациенте:</w:t>
            </w:r>
          </w:p>
          <w:p w:rsidR="002D219D" w:rsidRPr="002D219D" w:rsidRDefault="002D219D" w:rsidP="002D219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 (или) номер медкарты.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враче и клинике:</w:t>
            </w:r>
          </w:p>
          <w:p w:rsidR="002D219D" w:rsidRPr="002D219D" w:rsidRDefault="002D219D" w:rsidP="002D219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«Для рецептов» обязательна.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особенности:</w:t>
            </w:r>
          </w:p>
          <w:p w:rsidR="002D219D" w:rsidRPr="002D219D" w:rsidRDefault="002D219D" w:rsidP="002D219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 внесены типографским способом.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107-1/у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не быть печати «Для рецептов».</w:t>
            </w:r>
          </w:p>
          <w:p w:rsidR="002D219D" w:rsidRPr="002D219D" w:rsidRDefault="002D219D" w:rsidP="002D21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может быть продлен до года, в таком случае должны быть: отметка «По специальному назначению», срок действия, периодичность отпуска.</w:t>
            </w:r>
          </w:p>
        </w:tc>
        <w:tc>
          <w:tcPr>
            <w:tcW w:w="0" w:type="auto"/>
            <w:vMerge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Этап 3. Проверка срока действия рецепта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Следует обратить отдельное внимание на дату выписки рецепта. Приказ Минздрава № 1094н закрепил следующие сроки действия рецептов, исчисляемые со дня оформления:</w:t>
      </w:r>
    </w:p>
    <w:p w:rsidR="002D219D" w:rsidRPr="002D219D" w:rsidRDefault="002D219D" w:rsidP="002D219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№ 107-1/у 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— 60 дней (до года — если у пациента хроническое заболевание);</w:t>
      </w:r>
    </w:p>
    <w:p w:rsidR="002D219D" w:rsidRPr="002D219D" w:rsidRDefault="002D219D" w:rsidP="002D219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№ 148-1/у-88 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— 15 дней;</w:t>
      </w:r>
    </w:p>
    <w:p w:rsidR="002D219D" w:rsidRPr="002D219D" w:rsidRDefault="002D219D" w:rsidP="002D219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№ 107/у-НП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— 15 дней.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Этап 4. Проверка назначения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Следует разобраться с дозировкой и количеством, которые указал на бланке врач. Проверить в рамках фармацевтической экспертизы рецепта нужно: </w:t>
      </w:r>
    </w:p>
    <w:p w:rsidR="002D219D" w:rsidRPr="002D219D" w:rsidRDefault="002D219D" w:rsidP="002D219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дозировку (количество приемов в день должно соответствовать выписанной лекарственной форме);</w:t>
      </w:r>
    </w:p>
    <w:p w:rsidR="002D219D" w:rsidRPr="002D219D" w:rsidRDefault="002D219D" w:rsidP="002D219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количество (если рецепт на препарат ПКУ, см. этап 5);</w:t>
      </w:r>
    </w:p>
    <w:p w:rsidR="002D219D" w:rsidRPr="002D219D" w:rsidRDefault="002D219D" w:rsidP="002D219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lastRenderedPageBreak/>
        <w:t>лекарственную форму;</w:t>
      </w:r>
    </w:p>
    <w:p w:rsidR="002D219D" w:rsidRPr="002D219D" w:rsidRDefault="002D219D" w:rsidP="002D219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способ применения.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В случае сомнений нужно обратиться к инструкции по применению или общей характеристике лекарственных препаратов. Подробнее об этих документах читайте в статье «</w:t>
      </w:r>
      <w:hyperlink r:id="rId13" w:history="1">
        <w:r w:rsidRPr="002D21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Инструкция для фармацевта: как быстро искать информацию о лекарствах</w:t>
        </w:r>
      </w:hyperlink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».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Этап 5. Проверка ограничений по отпуску 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Если рецепт выписан на препарат ПКУ, нужно свериться с нормативными лимитами по отдельным наименованиям. Например, для НС и ПВ ограничено количество препарата на один рецепт (см. Приложение № 1 к Порядку назначения лекарственных препаратов, утв. Приказом № 1094н). 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Кроме количества конкретного препарата, нужно проверить и количество наименований лекарственных препаратов в рецепте. Так, на бланках №№ 148-1/у-88, 107/у-НП допускается выписывать строго по одному наименованию препарата. Нельзя выдать рецепт по указанным формам на два лекарства. 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А вот в рецепте по форме № 107-1/у может быть указано до трех МНН. Однако это послабление не касается: </w:t>
      </w:r>
    </w:p>
    <w:p w:rsidR="002D219D" w:rsidRPr="002D219D" w:rsidRDefault="002D219D" w:rsidP="002D219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антипсихотических средств (код N05А);</w:t>
      </w:r>
    </w:p>
    <w:p w:rsidR="002D219D" w:rsidRPr="002D219D" w:rsidRDefault="002D219D" w:rsidP="002D219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анксиолитиков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(код N05B);</w:t>
      </w:r>
    </w:p>
    <w:p w:rsidR="002D219D" w:rsidRPr="002D219D" w:rsidRDefault="002D219D" w:rsidP="002D219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снотворных и седативных средства (код N05C);</w:t>
      </w:r>
    </w:p>
    <w:p w:rsidR="002D219D" w:rsidRPr="002D219D" w:rsidRDefault="002D219D" w:rsidP="002D219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антидепрессантов (код N06A).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Типичные ошибки в рецептах: на что обратить внимание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Чтобы контрольные точки при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фармэкспертизе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рецептов легче запомнились, мы собрали в таблицу примеры ошибок в рецептах и отметили, на что обратить особое внимание.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3030"/>
        <w:gridCol w:w="4044"/>
      </w:tblGrid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точка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для самопроверки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недочеты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рецептурного бланка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рецепта и группа лекарственного препарата соответствуют друг другу? Особое внимание — препаратам ПКУ.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бланка не соответствует правовому статусу препарата. Например, по форме № 107-1/у выдан рецепт на НС или ПВ.</w:t>
            </w:r>
          </w:p>
          <w:p w:rsidR="002D219D" w:rsidRPr="002D219D" w:rsidRDefault="002D219D" w:rsidP="002D219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бланка устарела.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изготовления бланка</w:t>
            </w: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выполнен на обычном принтере или в типографии?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№ 107/у-НП или № 148-1/у-88 распечатан принтере.</w:t>
            </w:r>
          </w:p>
          <w:p w:rsidR="002D219D" w:rsidRPr="002D219D" w:rsidRDefault="002D219D" w:rsidP="002D219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№ 107/у-НП выполнен белой, а не розовой бумаге.</w:t>
            </w:r>
          </w:p>
          <w:p w:rsidR="002D219D" w:rsidRPr="002D219D" w:rsidRDefault="002D219D" w:rsidP="002D219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Серия и номер бланка № 107/у-НП или № 148-1/у-88 вписаны вручную или отсутствуют (должны быть выполнены типографским способом).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 действия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выписан рецепт? До какой даты действует?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просрочен.</w:t>
            </w:r>
          </w:p>
          <w:p w:rsidR="002D219D" w:rsidRPr="002D219D" w:rsidRDefault="002D219D" w:rsidP="002D219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отсутствует или исправлена.</w:t>
            </w:r>
          </w:p>
          <w:p w:rsidR="002D219D" w:rsidRPr="002D219D" w:rsidRDefault="002D219D" w:rsidP="002D219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по форме № 107-1/у продлен до года, но нет отметки «По специальному назначению».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Печати, штампы 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на бланке все необходимые печати, штампы?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для каждого бланка.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печати «Для рецептов» на бланках № 148-1/у-88 и № 107/у-НП.</w:t>
            </w:r>
          </w:p>
          <w:p w:rsidR="002D219D" w:rsidRPr="002D219D" w:rsidRDefault="002D219D" w:rsidP="002D219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личной печати врача или фамилия на печати не совпадает с подписью или ФИО врача.</w:t>
            </w:r>
          </w:p>
          <w:p w:rsidR="002D219D" w:rsidRPr="002D219D" w:rsidRDefault="002D219D" w:rsidP="002D219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штампе указан устаревший или несуществующий адрес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оформил рецепт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медорганизация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какой врач выдали рецепт?</w:t>
            </w:r>
          </w:p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специализацию врача, направленность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на лекарство из Списков II или III Перечня НС и ПВ, выдал врач — ИП.</w:t>
            </w:r>
          </w:p>
          <w:p w:rsidR="002D219D" w:rsidRPr="002D219D" w:rsidRDefault="002D219D" w:rsidP="002D219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рецепт оформлен врачом детской поликлиники или наоборот.</w:t>
            </w:r>
          </w:p>
          <w:p w:rsidR="002D219D" w:rsidRPr="002D219D" w:rsidRDefault="002D219D" w:rsidP="002D219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врача на личной печати и на бланке не совпадают.</w:t>
            </w:r>
          </w:p>
          <w:p w:rsidR="002D219D" w:rsidRPr="002D219D" w:rsidRDefault="002D219D" w:rsidP="002D219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бланке №107/у-НП указаны нет полных имени и отчества врача.</w:t>
            </w:r>
          </w:p>
          <w:p w:rsidR="002D219D" w:rsidRPr="002D219D" w:rsidRDefault="002D219D" w:rsidP="002D219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Медорганизация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«выдала рецепт», не существует или изменила название.</w:t>
            </w:r>
          </w:p>
          <w:p w:rsidR="002D219D" w:rsidRPr="002D219D" w:rsidRDefault="002D219D" w:rsidP="002D219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 номера телефона клиники на ее штампе.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препаратов в одном рецепте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лекарств врач выписал на одном рецептурном бланке? Особенно — для препаратов ПКУ.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бланке № 148-1/у-88 или №107/у-НП выписаны два лекарства, а не одно.</w:t>
            </w:r>
          </w:p>
          <w:p w:rsidR="002D219D" w:rsidRPr="002D219D" w:rsidRDefault="002D219D" w:rsidP="002D219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бланке № 107-1/у выписано более одного препарата из групп антипсихотиков, </w:t>
            </w:r>
            <w:proofErr w:type="spellStart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анксиолитиков</w:t>
            </w:r>
            <w:proofErr w:type="spellEnd"/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снотворных и седативных или антидепрессантов.</w:t>
            </w:r>
          </w:p>
          <w:p w:rsidR="002D219D" w:rsidRPr="002D219D" w:rsidRDefault="002D219D" w:rsidP="002D219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МНН указано ТН, при этом на обороте нет печати врачебной комиссии.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применения препарата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в рецепте подробное описание того, как принимать препарат?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описан способ применения.</w:t>
            </w:r>
          </w:p>
          <w:p w:rsidR="002D219D" w:rsidRPr="002D219D" w:rsidRDefault="002D219D" w:rsidP="002D219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способа применения указано: «По схеме».</w:t>
            </w:r>
          </w:p>
          <w:p w:rsidR="002D219D" w:rsidRPr="002D219D" w:rsidRDefault="002D219D" w:rsidP="002D219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сигнатуре, например, указания для больного содержат непонятные сокращения.</w:t>
            </w:r>
          </w:p>
          <w:p w:rsidR="002D219D" w:rsidRPr="002D219D" w:rsidRDefault="002D219D" w:rsidP="002D219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 длительность приема.</w:t>
            </w:r>
          </w:p>
          <w:p w:rsidR="002D219D" w:rsidRPr="002D219D" w:rsidRDefault="002D219D" w:rsidP="002D219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выписан на лекарственную форму, в которой препарат не выпускают.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о пациенте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 ли указан возраст пациента? Есть ли номер его медкарты, полиса? 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Ошибочно указан возраст пациента.</w:t>
            </w:r>
          </w:p>
          <w:p w:rsidR="002D219D" w:rsidRPr="002D219D" w:rsidRDefault="002D219D" w:rsidP="002D219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 количество полных лет (для бланка № 107/у-НП).</w:t>
            </w:r>
          </w:p>
          <w:p w:rsidR="002D219D" w:rsidRPr="002D219D" w:rsidRDefault="002D219D" w:rsidP="002D219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адреса пациента или номера медкарты (для НС и ПВ).</w:t>
            </w:r>
          </w:p>
        </w:tc>
      </w:tr>
      <w:tr w:rsidR="002D219D" w:rsidRP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 дозировка 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количество препарата в </w:t>
            </w: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рецепте количеству в упаковке?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Pr="002D219D" w:rsidRDefault="002D219D" w:rsidP="002D219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доз в рецепте не соответствует количеству доз в упаковке </w:t>
            </w: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производителя (больше или меньше).</w:t>
            </w:r>
          </w:p>
          <w:p w:rsidR="002D219D" w:rsidRPr="002D219D" w:rsidRDefault="002D219D" w:rsidP="002D219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 указано количество препарата на один прием или для реализации по одному рецепту.</w:t>
            </w:r>
          </w:p>
          <w:p w:rsidR="002D219D" w:rsidRPr="002D219D" w:rsidRDefault="002D219D" w:rsidP="002D219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Превышено допустимое количество на один рецепт без заверения печатью «Для рецептов» и надписи «По специальному назначению».</w:t>
            </w:r>
          </w:p>
        </w:tc>
      </w:tr>
    </w:tbl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lastRenderedPageBreak/>
        <w:t>Недействительный рецепт: когда отпуск возможен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Правильный ответ —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никогда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. Если фармацевтический специалист выявил нарушения в оформлении рецепта, последний считается недействительным. Отпуск по нему запрещен. Исключений быть не может: ведь отпуск по недействительному рецепту могут приравнять к отпуску без рецепта, аптеку или ее должностное лицо оштрафуют.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Недействительным можно считать рецепт, в котором есть любые исправления, ошибки оформления, несоответствие категории препарата и формы бланка между собой. 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Действия фармацевта при выявлении ошибок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Если работник первого стола при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фармэкспертизе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рецепта обнаружил ошибки или исправления и признал его недействительным, следует совершить следующие действия:</w:t>
      </w:r>
    </w:p>
    <w:p w:rsidR="002D219D" w:rsidRPr="002D219D" w:rsidRDefault="002D219D" w:rsidP="002D21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Зарегистрировать рецепт в Журнале учета неправильно выписанных рецептов. </w:t>
      </w:r>
    </w:p>
    <w:p w:rsidR="002D219D" w:rsidRPr="002D219D" w:rsidRDefault="002D219D" w:rsidP="002D21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Поставить на бланк штамп «Рецепт недействителен».</w:t>
      </w:r>
    </w:p>
    <w:p w:rsidR="002D219D" w:rsidRPr="002D219D" w:rsidRDefault="002D219D" w:rsidP="002D21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Объяснить посетителю, что нужно пойти к врачу и получить новый, корректный рецепт. Рассказать, почему сейчас ему не продадут препарат.</w:t>
      </w:r>
    </w:p>
    <w:p w:rsidR="002D219D" w:rsidRPr="002D219D" w:rsidRDefault="002D219D" w:rsidP="002D21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Вернуть недействительный рецепт пациенту. </w:t>
      </w:r>
    </w:p>
    <w:p w:rsidR="002D219D" w:rsidRPr="002D219D" w:rsidRDefault="002D219D" w:rsidP="002D219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Подробнее о работе с недействительными рецептами читайте в статье «</w:t>
      </w:r>
      <w:hyperlink r:id="rId14" w:history="1">
        <w:r w:rsidRPr="002D21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Учет поддельных и неправильно выписанных рецептов на медицинские препараты</w:t>
        </w:r>
      </w:hyperlink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».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Особенности экспертизы рецептов на ПКУ и наркотические препараты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К рецептам на препараты ПКУ предъявляются наиболее строгие требования. К препаратам ПКУ относятся: </w:t>
      </w:r>
    </w:p>
    <w:p w:rsidR="002D219D" w:rsidRPr="002D219D" w:rsidRDefault="002D219D" w:rsidP="002D219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препараты, содержащие НС и ПВ и их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прекурсоры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 разрешенные к обороту в России под особым контролем (Списки II и III);</w:t>
      </w:r>
    </w:p>
    <w:p w:rsidR="002D219D" w:rsidRPr="002D219D" w:rsidRDefault="002D219D" w:rsidP="002D219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лекарственные средства, содержащие СД и ЯВ;</w:t>
      </w:r>
    </w:p>
    <w:p w:rsidR="002D219D" w:rsidRPr="002D219D" w:rsidRDefault="002D219D" w:rsidP="002D219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lastRenderedPageBreak/>
        <w:t>комбинированные препараты, в которых малые количества НС и ПВ совмещены с другими фармакологически активными веществами;</w:t>
      </w:r>
    </w:p>
    <w:p w:rsidR="002D219D" w:rsidRPr="002D219D" w:rsidRDefault="002D219D" w:rsidP="002D219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иные препараты, подлежащие ПКУ: </w:t>
      </w:r>
      <w:proofErr w:type="spellStart"/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габапентин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 </w:t>
      </w:r>
      <w:proofErr w:type="spellStart"/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баклофен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 (за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искл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. лекарственной формы для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интратекального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введения);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дицикловерин+парацетамол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мизопростол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мифепристон,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циклопентолат 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(раздел IV Перечня ПКУ)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. 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Для отпуска ПКУ, в зависимости от того, в каком перечне или списке они зафиксированы, применяют рецепты по формам №№ 107/у-НП и 148-1/у-88.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Бланк № 107/у-НП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используется для следующих препаратов: </w:t>
      </w:r>
    </w:p>
    <w:p w:rsidR="002D219D" w:rsidRPr="002D219D" w:rsidRDefault="002D219D" w:rsidP="002D219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НС и ПВ из Списка II, кроме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трансдермальных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терапевтических систем;</w:t>
      </w:r>
    </w:p>
    <w:p w:rsidR="002D219D" w:rsidRPr="002D219D" w:rsidRDefault="002D219D" w:rsidP="002D219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лекарственные препараты, содержащие наркотическое средство в сочетании с антагонистом опиоидных рецепторов.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На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бланке № 148-1/у-88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выписывают: </w:t>
      </w:r>
    </w:p>
    <w:p w:rsidR="002D219D" w:rsidRPr="002D219D" w:rsidRDefault="002D219D" w:rsidP="002D219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НС и ПВ из Списка II в виде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трансдермальных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терапевтических систем;</w:t>
      </w:r>
    </w:p>
    <w:p w:rsidR="002D219D" w:rsidRPr="002D219D" w:rsidRDefault="002D219D" w:rsidP="002D219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психотропные препараты из Списка III;</w:t>
      </w:r>
    </w:p>
    <w:p w:rsidR="002D219D" w:rsidRPr="002D219D" w:rsidRDefault="002D219D" w:rsidP="002D219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комбинированные препараты, в которых, кроме малых количеств НС и ПВ, есть и другие фармакологически активные вещества;</w:t>
      </w:r>
    </w:p>
    <w:p w:rsidR="002D219D" w:rsidRPr="002D219D" w:rsidRDefault="002D219D" w:rsidP="002D219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иные препараты ПКУ: </w:t>
      </w:r>
      <w:proofErr w:type="spellStart"/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габапентин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 </w:t>
      </w:r>
      <w:proofErr w:type="spellStart"/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баклофен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 (за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искл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. лекарственной формы для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интратекального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введения);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дицикловерин+парацетамол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мизопростол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мифепристон,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циклопентолат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(данная редакция перечня </w:t>
      </w:r>
      <w:hyperlink r:id="rId15" w:tgtFrame="_blank" w:history="1">
        <w:r w:rsidRPr="002D219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вступила в силу 1 марта 2026 г.</w:t>
        </w:r>
      </w:hyperlink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).</w:t>
      </w:r>
    </w:p>
    <w:p w:rsidR="002D219D" w:rsidRPr="002D219D" w:rsidRDefault="002D219D" w:rsidP="002D219D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</w:pPr>
      <w:r w:rsidRPr="002D219D">
        <w:rPr>
          <w:rFonts w:ascii="Arial" w:eastAsia="Times New Roman" w:hAnsi="Arial" w:cs="Arial"/>
          <w:b/>
          <w:bCs/>
          <w:color w:val="04202F"/>
          <w:sz w:val="30"/>
          <w:szCs w:val="30"/>
          <w:lang w:eastAsia="ru-RU"/>
        </w:rPr>
        <w:t>Ответственность за нарушения при фармацевтической экспертизе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Если фармацевт ошибется при проведении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фармэкспертизы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или отнесется к ней небрежно, может произойти отпуск препаратов по недействительному рецепту. Такие действия в зависимости от категории отпущенного препарата влекут ответственность разной степени тяжести.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Например, если по дефектному рецепту фармацевт отпустил препарат, не входящий в Перечень ПКУ, ответственность наступит по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ч. 1 ст. 14.4.2 КоАП РФ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— нарушение порядка розничной торговли лекарственными препаратами. Наказание при этом варьируется:</w:t>
      </w:r>
    </w:p>
    <w:p w:rsidR="002D219D" w:rsidRPr="002D219D" w:rsidRDefault="002D219D" w:rsidP="002D219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для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юрлиц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— от 20 тыс. до 30 тыс. руб.;</w:t>
      </w:r>
    </w:p>
    <w:p w:rsidR="002D219D" w:rsidRPr="002D219D" w:rsidRDefault="002D219D" w:rsidP="002D219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для должностных лиц (руководитель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юрлица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) — от 5 тыс. до 10 тыс. руб.</w:t>
      </w:r>
    </w:p>
    <w:p w:rsidR="002D219D" w:rsidRPr="002D219D" w:rsidRDefault="002D219D" w:rsidP="002D219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А если при фармацевтической экспертизе пропущены недочеты рецепта на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препараты ПКУ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, кроме психотропных, то согласно </w:t>
      </w:r>
      <w:r w:rsidRPr="002D219D">
        <w:rPr>
          <w:rFonts w:ascii="Arial" w:eastAsia="Times New Roman" w:hAnsi="Arial" w:cs="Arial"/>
          <w:b/>
          <w:bCs/>
          <w:color w:val="04202F"/>
          <w:sz w:val="24"/>
          <w:szCs w:val="24"/>
          <w:lang w:eastAsia="ru-RU"/>
        </w:rPr>
        <w:t>ч. 1.1. ст. 14.4.2 КоАП</w:t>
      </w: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 РФ наказание составит:</w:t>
      </w:r>
    </w:p>
    <w:p w:rsidR="002D219D" w:rsidRPr="002D219D" w:rsidRDefault="002D219D" w:rsidP="002D21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для должностных лиц (включая фармацевтического работника) — от 10 тыс. до 20 тыс. руб.;</w:t>
      </w:r>
    </w:p>
    <w:p w:rsidR="002D219D" w:rsidRPr="002D219D" w:rsidRDefault="002D219D" w:rsidP="002D219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202F"/>
          <w:sz w:val="24"/>
          <w:szCs w:val="24"/>
          <w:lang w:eastAsia="ru-RU"/>
        </w:rPr>
      </w:pPr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для </w:t>
      </w:r>
      <w:proofErr w:type="spellStart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>юрлиц</w:t>
      </w:r>
      <w:proofErr w:type="spellEnd"/>
      <w:r w:rsidRPr="002D219D">
        <w:rPr>
          <w:rFonts w:ascii="Arial" w:eastAsia="Times New Roman" w:hAnsi="Arial" w:cs="Arial"/>
          <w:color w:val="04202F"/>
          <w:sz w:val="24"/>
          <w:szCs w:val="24"/>
          <w:lang w:eastAsia="ru-RU"/>
        </w:rPr>
        <w:t xml:space="preserve"> — от 150 тыс. до 200 тыс. руб.</w:t>
      </w:r>
    </w:p>
    <w:p w:rsidR="002D219D" w:rsidRDefault="002D219D" w:rsidP="002D219D">
      <w:pPr>
        <w:pStyle w:val="2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b/>
          <w:bCs/>
          <w:color w:val="04202F"/>
          <w:sz w:val="30"/>
          <w:szCs w:val="30"/>
        </w:rPr>
      </w:pPr>
    </w:p>
    <w:p w:rsidR="002D219D" w:rsidRDefault="002D219D" w:rsidP="002D219D">
      <w:pPr>
        <w:pStyle w:val="2"/>
        <w:shd w:val="clear" w:color="auto" w:fill="FFFFFF"/>
        <w:spacing w:before="0" w:beforeAutospacing="0" w:after="150" w:afterAutospacing="0"/>
        <w:rPr>
          <w:rFonts w:ascii="Arial" w:hAnsi="Arial" w:cs="Arial"/>
          <w:color w:val="04202F"/>
          <w:sz w:val="30"/>
          <w:szCs w:val="30"/>
        </w:rPr>
      </w:pPr>
      <w:bookmarkStart w:id="0" w:name="_GoBack"/>
      <w:bookmarkEnd w:id="0"/>
      <w:r>
        <w:rPr>
          <w:rStyle w:val="a5"/>
          <w:rFonts w:ascii="Arial" w:hAnsi="Arial" w:cs="Arial"/>
          <w:b/>
          <w:bCs/>
          <w:color w:val="04202F"/>
          <w:sz w:val="30"/>
          <w:szCs w:val="30"/>
        </w:rPr>
        <w:lastRenderedPageBreak/>
        <w:t>Ответственность за отпуск по недействительным рецептам</w:t>
      </w:r>
    </w:p>
    <w:p w:rsidR="002D219D" w:rsidRDefault="002D219D" w:rsidP="002D219D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4202F"/>
        </w:rPr>
      </w:pPr>
      <w:r>
        <w:rPr>
          <w:rFonts w:ascii="Arial" w:hAnsi="Arial" w:cs="Arial"/>
          <w:color w:val="04202F"/>
        </w:rPr>
        <w:t xml:space="preserve">Отпуск по рецепту, который оформлен с нарушением, юридически приравнивается к отпуску без рецепта. Неважно, подделан бланк или ошибки в нем случайны. Отвечать придется аптеке, а в некоторых случаях и лично </w:t>
      </w:r>
      <w:proofErr w:type="spellStart"/>
      <w:r>
        <w:rPr>
          <w:rFonts w:ascii="Arial" w:hAnsi="Arial" w:cs="Arial"/>
          <w:color w:val="04202F"/>
        </w:rPr>
        <w:t>фармработнику</w:t>
      </w:r>
      <w:proofErr w:type="spellEnd"/>
      <w:r>
        <w:rPr>
          <w:rFonts w:ascii="Arial" w:hAnsi="Arial" w:cs="Arial"/>
          <w:color w:val="04202F"/>
        </w:rPr>
        <w:t>. </w:t>
      </w:r>
    </w:p>
    <w:p w:rsidR="002D219D" w:rsidRDefault="002D219D" w:rsidP="002D219D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4202F"/>
        </w:rPr>
      </w:pPr>
      <w:r>
        <w:rPr>
          <w:rFonts w:ascii="Arial" w:hAnsi="Arial" w:cs="Arial"/>
          <w:color w:val="04202F"/>
        </w:rPr>
        <w:t>В зависимости от того, какой препарат продан и какие последствия наступили, ответственность варьируется от административного штрафа до лишения свободы и потери профессии. Кроме того, работодатель вправе применить к виновнику </w:t>
      </w:r>
      <w:hyperlink r:id="rId16" w:tgtFrame="_blank" w:history="1">
        <w:r>
          <w:rPr>
            <w:rStyle w:val="a4"/>
            <w:rFonts w:ascii="Arial" w:hAnsi="Arial" w:cs="Arial"/>
          </w:rPr>
          <w:t>дисциплинарное взыскание</w:t>
        </w:r>
      </w:hyperlink>
      <w:r>
        <w:rPr>
          <w:rFonts w:ascii="Arial" w:hAnsi="Arial" w:cs="Arial"/>
          <w:color w:val="04202F"/>
        </w:rPr>
        <w:t> согласно Трудовому кодексу.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0"/>
        <w:gridCol w:w="5179"/>
      </w:tblGrid>
      <w:tr w:rsid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>Какой препарат отпущен по недействительному рецепту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>Наказание за нарушение</w:t>
            </w:r>
          </w:p>
        </w:tc>
      </w:tr>
      <w:tr w:rsid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препарат, не подлежащий ПКУ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Административный штраф: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r>
              <w:t xml:space="preserve">для </w:t>
            </w:r>
            <w:proofErr w:type="spellStart"/>
            <w:r>
              <w:t>юрлиц</w:t>
            </w:r>
            <w:proofErr w:type="spellEnd"/>
            <w:r>
              <w:t xml:space="preserve"> — от 20 тыс. до 30 тыс. руб.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r>
              <w:t>для должностных лиц — от 5 тыс. до 10 тыс. руб.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r>
              <w:t xml:space="preserve">Должностным лицом считается руководитель </w:t>
            </w:r>
            <w:proofErr w:type="spellStart"/>
            <w:r>
              <w:t>юрлица</w:t>
            </w:r>
            <w:proofErr w:type="spellEnd"/>
            <w:r>
              <w:t>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hyperlink r:id="rId17" w:tgtFrame="_blank" w:history="1">
              <w:r>
                <w:rPr>
                  <w:rStyle w:val="a4"/>
                </w:rPr>
                <w:t>ч. 1 ст. 14.4.2 КоАП РФ</w:t>
              </w:r>
            </w:hyperlink>
          </w:p>
        </w:tc>
      </w:tr>
      <w:tr w:rsid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препарат, подлежащий ПКУ, кроме наркотических и психотропных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Административный штраф: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r>
              <w:t>для должностных лиц — от 10 тыс. до 20 тыс. руб.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r>
              <w:t xml:space="preserve">для </w:t>
            </w:r>
            <w:proofErr w:type="spellStart"/>
            <w:r>
              <w:t>юрлиц</w:t>
            </w:r>
            <w:proofErr w:type="spellEnd"/>
            <w:r>
              <w:t xml:space="preserve"> — от 150 тыс. до 200 тыс. руб.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proofErr w:type="spellStart"/>
            <w:r>
              <w:t>Фармработник</w:t>
            </w:r>
            <w:proofErr w:type="spellEnd"/>
            <w:r>
              <w:t xml:space="preserve"> приравнен к должностному лицу.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hyperlink r:id="rId18" w:tgtFrame="_blank" w:history="1">
              <w:r>
                <w:rPr>
                  <w:rStyle w:val="a4"/>
                </w:rPr>
                <w:t>ч. 1.1 ст. 14.4.2 КоАП РФ</w:t>
              </w:r>
            </w:hyperlink>
          </w:p>
        </w:tc>
      </w:tr>
      <w:tr w:rsid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наркотический или психотропный препарат из перечня ПКУ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Уголовная ответственность: штраф до 120 тыс. руб., возможно лишение права работать по профессии на срок до 3 лет.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hyperlink r:id="rId19" w:tgtFrame="_blank" w:history="1">
              <w:r>
                <w:rPr>
                  <w:rStyle w:val="a4"/>
                </w:rPr>
                <w:t>ч. 1 ст. 228.2 УК РФ</w:t>
              </w:r>
            </w:hyperlink>
          </w:p>
        </w:tc>
      </w:tr>
      <w:tr w:rsidR="002D219D" w:rsidTr="002D219D"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наркотический или психотропный препарат из перечня ПКУ, наступили тяжкие последствия</w:t>
            </w:r>
          </w:p>
        </w:tc>
        <w:tc>
          <w:tcPr>
            <w:tcW w:w="0" w:type="auto"/>
            <w:tcBorders>
              <w:top w:val="single" w:sz="6" w:space="0" w:color="E7F0FE"/>
              <w:left w:val="single" w:sz="6" w:space="0" w:color="E7F0FE"/>
              <w:bottom w:val="single" w:sz="6" w:space="0" w:color="E7F0FE"/>
              <w:right w:val="single" w:sz="6" w:space="0" w:color="E7F0FE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D219D" w:rsidRDefault="002D219D">
            <w:pPr>
              <w:pStyle w:val="a3"/>
              <w:spacing w:before="0" w:beforeAutospacing="0" w:after="0" w:afterAutospacing="0"/>
            </w:pPr>
            <w:r>
              <w:t>Уголовная ответственность: штраф до 400 тыс. руб. либо лишение свободы на срок до 3 лет с лишением права работы по профессии на тот же срок.</w:t>
            </w:r>
          </w:p>
          <w:p w:rsidR="002D219D" w:rsidRDefault="002D219D">
            <w:pPr>
              <w:pStyle w:val="a3"/>
              <w:spacing w:before="0" w:beforeAutospacing="0" w:after="0" w:afterAutospacing="0"/>
            </w:pPr>
            <w:hyperlink r:id="rId20" w:tgtFrame="_blank" w:history="1">
              <w:r>
                <w:rPr>
                  <w:rStyle w:val="a4"/>
                </w:rPr>
                <w:t>ч. 2 ст. 228.2 УК РФ</w:t>
              </w:r>
            </w:hyperlink>
          </w:p>
        </w:tc>
      </w:tr>
    </w:tbl>
    <w:p w:rsidR="00D67D72" w:rsidRDefault="00D67D72" w:rsidP="002D219D">
      <w:pPr>
        <w:jc w:val="both"/>
      </w:pPr>
    </w:p>
    <w:sectPr w:rsidR="00D6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D6E"/>
    <w:multiLevelType w:val="multilevel"/>
    <w:tmpl w:val="C1B8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04A03"/>
    <w:multiLevelType w:val="multilevel"/>
    <w:tmpl w:val="54EE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37B2"/>
    <w:multiLevelType w:val="multilevel"/>
    <w:tmpl w:val="ED8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61E02"/>
    <w:multiLevelType w:val="multilevel"/>
    <w:tmpl w:val="B7C6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C5A5D"/>
    <w:multiLevelType w:val="multilevel"/>
    <w:tmpl w:val="B7A2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5663E"/>
    <w:multiLevelType w:val="multilevel"/>
    <w:tmpl w:val="6DD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E4770"/>
    <w:multiLevelType w:val="multilevel"/>
    <w:tmpl w:val="8F9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E745B"/>
    <w:multiLevelType w:val="multilevel"/>
    <w:tmpl w:val="4D1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D19F4"/>
    <w:multiLevelType w:val="multilevel"/>
    <w:tmpl w:val="992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57DC1"/>
    <w:multiLevelType w:val="multilevel"/>
    <w:tmpl w:val="345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C17C4"/>
    <w:multiLevelType w:val="multilevel"/>
    <w:tmpl w:val="E040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82C35"/>
    <w:multiLevelType w:val="multilevel"/>
    <w:tmpl w:val="429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31492"/>
    <w:multiLevelType w:val="multilevel"/>
    <w:tmpl w:val="BC00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97E0E"/>
    <w:multiLevelType w:val="multilevel"/>
    <w:tmpl w:val="552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6061D"/>
    <w:multiLevelType w:val="multilevel"/>
    <w:tmpl w:val="830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918C5"/>
    <w:multiLevelType w:val="multilevel"/>
    <w:tmpl w:val="E04E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41DE5"/>
    <w:multiLevelType w:val="multilevel"/>
    <w:tmpl w:val="03AC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5D1373"/>
    <w:multiLevelType w:val="multilevel"/>
    <w:tmpl w:val="A58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D49B8"/>
    <w:multiLevelType w:val="multilevel"/>
    <w:tmpl w:val="D5E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F7E2E"/>
    <w:multiLevelType w:val="multilevel"/>
    <w:tmpl w:val="F00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81C13"/>
    <w:multiLevelType w:val="multilevel"/>
    <w:tmpl w:val="53B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54FAD"/>
    <w:multiLevelType w:val="multilevel"/>
    <w:tmpl w:val="C70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86A6F"/>
    <w:multiLevelType w:val="multilevel"/>
    <w:tmpl w:val="D4D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9C454E"/>
    <w:multiLevelType w:val="multilevel"/>
    <w:tmpl w:val="F80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33551"/>
    <w:multiLevelType w:val="multilevel"/>
    <w:tmpl w:val="4928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77E75"/>
    <w:multiLevelType w:val="multilevel"/>
    <w:tmpl w:val="6788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67C4E"/>
    <w:multiLevelType w:val="multilevel"/>
    <w:tmpl w:val="1648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02F0C"/>
    <w:multiLevelType w:val="multilevel"/>
    <w:tmpl w:val="390E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300E8"/>
    <w:multiLevelType w:val="multilevel"/>
    <w:tmpl w:val="F1C4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D757A"/>
    <w:multiLevelType w:val="multilevel"/>
    <w:tmpl w:val="577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BB5713"/>
    <w:multiLevelType w:val="multilevel"/>
    <w:tmpl w:val="76FC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434D0"/>
    <w:multiLevelType w:val="multilevel"/>
    <w:tmpl w:val="A99E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AE15BF"/>
    <w:multiLevelType w:val="multilevel"/>
    <w:tmpl w:val="0B94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92040B"/>
    <w:multiLevelType w:val="multilevel"/>
    <w:tmpl w:val="AB0A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D461B"/>
    <w:multiLevelType w:val="multilevel"/>
    <w:tmpl w:val="619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8B5C57"/>
    <w:multiLevelType w:val="multilevel"/>
    <w:tmpl w:val="71F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6"/>
  </w:num>
  <w:num w:numId="5">
    <w:abstractNumId w:val="11"/>
  </w:num>
  <w:num w:numId="6">
    <w:abstractNumId w:val="27"/>
  </w:num>
  <w:num w:numId="7">
    <w:abstractNumId w:val="22"/>
  </w:num>
  <w:num w:numId="8">
    <w:abstractNumId w:val="34"/>
  </w:num>
  <w:num w:numId="9">
    <w:abstractNumId w:val="21"/>
  </w:num>
  <w:num w:numId="10">
    <w:abstractNumId w:val="12"/>
  </w:num>
  <w:num w:numId="11">
    <w:abstractNumId w:val="25"/>
  </w:num>
  <w:num w:numId="12">
    <w:abstractNumId w:val="28"/>
  </w:num>
  <w:num w:numId="13">
    <w:abstractNumId w:val="24"/>
  </w:num>
  <w:num w:numId="14">
    <w:abstractNumId w:val="2"/>
  </w:num>
  <w:num w:numId="15">
    <w:abstractNumId w:val="1"/>
  </w:num>
  <w:num w:numId="16">
    <w:abstractNumId w:val="6"/>
  </w:num>
  <w:num w:numId="17">
    <w:abstractNumId w:val="9"/>
  </w:num>
  <w:num w:numId="18">
    <w:abstractNumId w:val="19"/>
  </w:num>
  <w:num w:numId="19">
    <w:abstractNumId w:val="33"/>
  </w:num>
  <w:num w:numId="20">
    <w:abstractNumId w:val="3"/>
  </w:num>
  <w:num w:numId="21">
    <w:abstractNumId w:val="15"/>
  </w:num>
  <w:num w:numId="22">
    <w:abstractNumId w:val="31"/>
  </w:num>
  <w:num w:numId="23">
    <w:abstractNumId w:val="26"/>
  </w:num>
  <w:num w:numId="24">
    <w:abstractNumId w:val="7"/>
  </w:num>
  <w:num w:numId="25">
    <w:abstractNumId w:val="35"/>
  </w:num>
  <w:num w:numId="26">
    <w:abstractNumId w:val="32"/>
  </w:num>
  <w:num w:numId="27">
    <w:abstractNumId w:val="18"/>
  </w:num>
  <w:num w:numId="28">
    <w:abstractNumId w:val="4"/>
  </w:num>
  <w:num w:numId="29">
    <w:abstractNumId w:val="23"/>
  </w:num>
  <w:num w:numId="30">
    <w:abstractNumId w:val="13"/>
  </w:num>
  <w:num w:numId="31">
    <w:abstractNumId w:val="0"/>
  </w:num>
  <w:num w:numId="32">
    <w:abstractNumId w:val="5"/>
  </w:num>
  <w:num w:numId="33">
    <w:abstractNumId w:val="14"/>
  </w:num>
  <w:num w:numId="34">
    <w:abstractNumId w:val="30"/>
  </w:num>
  <w:num w:numId="35">
    <w:abstractNumId w:val="2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FB"/>
    <w:rsid w:val="00285A07"/>
    <w:rsid w:val="002D219D"/>
    <w:rsid w:val="005150FB"/>
    <w:rsid w:val="00D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3939"/>
  <w15:chartTrackingRefBased/>
  <w15:docId w15:val="{ADB6B798-7387-4D8C-97B3-B6FA917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2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1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19D"/>
    <w:rPr>
      <w:color w:val="0000FF"/>
      <w:u w:val="single"/>
    </w:rPr>
  </w:style>
  <w:style w:type="character" w:styleId="a5">
    <w:name w:val="Strong"/>
    <w:basedOn w:val="a0"/>
    <w:uiPriority w:val="22"/>
    <w:qFormat/>
    <w:rsid w:val="002D2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8509">
              <w:marLeft w:val="0"/>
              <w:marRight w:val="0"/>
              <w:marTop w:val="450"/>
              <w:marBottom w:val="450"/>
              <w:divBdr>
                <w:top w:val="single" w:sz="6" w:space="12" w:color="D9E6FB"/>
                <w:left w:val="single" w:sz="6" w:space="24" w:color="D9E6FB"/>
                <w:bottom w:val="single" w:sz="6" w:space="12" w:color="D9E6FB"/>
                <w:right w:val="single" w:sz="6" w:space="24" w:color="D9E6FB"/>
              </w:divBdr>
            </w:div>
            <w:div w:id="7384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5626">
              <w:marLeft w:val="0"/>
              <w:marRight w:val="0"/>
              <w:marTop w:val="450"/>
              <w:marBottom w:val="450"/>
              <w:divBdr>
                <w:top w:val="single" w:sz="12" w:space="12" w:color="F6BD18"/>
                <w:left w:val="single" w:sz="12" w:space="24" w:color="F6BD18"/>
                <w:bottom w:val="single" w:sz="12" w:space="12" w:color="F6BD18"/>
                <w:right w:val="single" w:sz="12" w:space="24" w:color="F6BD1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2852" TargetMode="External"/><Relationship Id="rId13" Type="http://schemas.openxmlformats.org/officeDocument/2006/relationships/hyperlink" Target="https://pharmznanie.ru/article/instrukcia-dla-farmacevta-kak-bystro-iskat-dostovernuu-informaciu-o-lekarstvah" TargetMode="External"/><Relationship Id="rId18" Type="http://schemas.openxmlformats.org/officeDocument/2006/relationships/hyperlink" Target="https://normativ.kontur.ru/document?moduleId=1&amp;documentId=503362&amp;rangeId=665473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08258" TargetMode="External"/><Relationship Id="rId12" Type="http://schemas.openxmlformats.org/officeDocument/2006/relationships/hyperlink" Target="https://pharmznanie.ru/article/pravila-otpuska-narkoticheskikh-i-psikhotropnykh-preparatov-chto-dolzhen-znat-farmatsevt" TargetMode="External"/><Relationship Id="rId17" Type="http://schemas.openxmlformats.org/officeDocument/2006/relationships/hyperlink" Target="https://normativ.kontur.ru/document?moduleId=1&amp;documentId=503362&amp;rangeId=665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501882&amp;rangeId=6654739" TargetMode="External"/><Relationship Id="rId20" Type="http://schemas.openxmlformats.org/officeDocument/2006/relationships/hyperlink" Target="https://normativ.kontur.ru/document?moduleId=1&amp;documentId=502814&amp;rangeId=66547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7123199" TargetMode="External"/><Relationship Id="rId11" Type="http://schemas.openxmlformats.org/officeDocument/2006/relationships/hyperlink" Target="https://normativ.kontur.ru/document?moduleId=1&amp;documentId=502630" TargetMode="External"/><Relationship Id="rId5" Type="http://schemas.openxmlformats.org/officeDocument/2006/relationships/hyperlink" Target="https://docs.cntd.ru/document/420346038" TargetMode="External"/><Relationship Id="rId15" Type="http://schemas.openxmlformats.org/officeDocument/2006/relationships/hyperlink" Target="https://docs.cntd.ru/document/1314613919?marker=65A0IQ" TargetMode="External"/><Relationship Id="rId10" Type="http://schemas.openxmlformats.org/officeDocument/2006/relationships/hyperlink" Target="https://normativ.kontur.ru/document?moduleId=1&amp;documentId=503195" TargetMode="External"/><Relationship Id="rId19" Type="http://schemas.openxmlformats.org/officeDocument/2006/relationships/hyperlink" Target="https://normativ.kontur.ru/document?moduleId=1&amp;documentId=502814&amp;rangeId=6654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4850" TargetMode="External"/><Relationship Id="rId14" Type="http://schemas.openxmlformats.org/officeDocument/2006/relationships/hyperlink" Target="https://pharmznanie.ru/article/ucet-poddelnyh-i-nepravilno-vypisannyh-receptov-na-medicinskie-preparat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2819</Words>
  <Characters>16074</Characters>
  <Application>Microsoft Office Word</Application>
  <DocSecurity>0</DocSecurity>
  <Lines>133</Lines>
  <Paragraphs>37</Paragraphs>
  <ScaleCrop>false</ScaleCrop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1</dc:creator>
  <cp:keywords/>
  <dc:description/>
  <cp:lastModifiedBy>Ноутбук 1</cp:lastModifiedBy>
  <cp:revision>2</cp:revision>
  <dcterms:created xsi:type="dcterms:W3CDTF">2026-03-14T04:45:00Z</dcterms:created>
  <dcterms:modified xsi:type="dcterms:W3CDTF">2026-03-14T04:46:00Z</dcterms:modified>
</cp:coreProperties>
</file>