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CE0" w:rsidRPr="00DE4CE0" w:rsidRDefault="00DE4CE0" w:rsidP="00DE4CE0">
      <w:pPr>
        <w:pBdr>
          <w:bottom w:val="single" w:sz="6" w:space="0" w:color="656565"/>
        </w:pBdr>
        <w:shd w:val="clear" w:color="auto" w:fill="FCFCFC"/>
        <w:spacing w:after="100" w:afterAutospacing="1" w:line="288" w:lineRule="atLeast"/>
        <w:contextualSpacing/>
        <w:jc w:val="both"/>
        <w:outlineLvl w:val="0"/>
        <w:rPr>
          <w:rFonts w:ascii="Ruda" w:eastAsia="Times New Roman" w:hAnsi="Ruda" w:cs="Times New Roman"/>
          <w:kern w:val="36"/>
          <w:sz w:val="45"/>
          <w:szCs w:val="45"/>
          <w:lang w:eastAsia="ru-RU"/>
        </w:rPr>
      </w:pPr>
      <w:r w:rsidRPr="00DE4CE0">
        <w:rPr>
          <w:rFonts w:ascii="Ruda" w:eastAsia="Times New Roman" w:hAnsi="Ruda" w:cs="Times New Roman"/>
          <w:kern w:val="36"/>
          <w:sz w:val="45"/>
          <w:szCs w:val="45"/>
          <w:lang w:eastAsia="ru-RU"/>
        </w:rPr>
        <w:t>Сроки использования лекарственных средств до и после вскрытия упаковки</w:t>
      </w:r>
    </w:p>
    <w:p w:rsidR="00DE4CE0" w:rsidRPr="00DE4CE0" w:rsidRDefault="00DE4CE0" w:rsidP="00DE4CE0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contextualSpacing/>
        <w:jc w:val="both"/>
        <w:rPr>
          <w:rFonts w:ascii="Ruda" w:eastAsia="Times New Roman" w:hAnsi="Ruda" w:cs="Times New Roman"/>
          <w:sz w:val="18"/>
          <w:szCs w:val="18"/>
          <w:lang w:eastAsia="ru-RU"/>
        </w:rPr>
      </w:pPr>
      <w:hyperlink r:id="rId5" w:history="1">
        <w:r w:rsidRPr="00DE4CE0">
          <w:rPr>
            <w:rFonts w:ascii="Ruda" w:eastAsia="Times New Roman" w:hAnsi="Ruda" w:cs="Times New Roman"/>
            <w:sz w:val="18"/>
            <w:szCs w:val="18"/>
            <w:lang w:eastAsia="ru-RU"/>
          </w:rPr>
          <w:t>Аптека</w:t>
        </w:r>
      </w:hyperlink>
    </w:p>
    <w:p w:rsidR="00DE4CE0" w:rsidRPr="00DE4CE0" w:rsidRDefault="00DE4CE0" w:rsidP="00DE4CE0">
      <w:pPr>
        <w:shd w:val="clear" w:color="auto" w:fill="FCFCFC"/>
        <w:spacing w:after="0" w:line="270" w:lineRule="atLeast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 </w:t>
      </w:r>
    </w:p>
    <w:p w:rsidR="00DE4CE0" w:rsidRPr="00DE4CE0" w:rsidRDefault="00DE4CE0" w:rsidP="00DE4CE0">
      <w:pPr>
        <w:shd w:val="clear" w:color="auto" w:fill="FCFCFC"/>
        <w:spacing w:after="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noProof/>
          <w:sz w:val="23"/>
          <w:szCs w:val="23"/>
          <w:lang w:eastAsia="ru-RU"/>
        </w:rPr>
        <w:drawing>
          <wp:inline distT="0" distB="0" distL="0" distR="0" wp14:anchorId="0576D1A2" wp14:editId="3A54D951">
            <wp:extent cx="2667000" cy="1577340"/>
            <wp:effectExtent l="0" t="0" r="0" b="3810"/>
            <wp:docPr id="3" name="Рисунок 3" descr="https://pharmarf.ru/storage/date202609/63/c4/5c/65/1b/36/c6/87/4204-08f43d-94e5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harmarf.ru/storage/date202609/63/c4/5c/65/1b/36/c6/87/4204-08f43d-94e5a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 xml:space="preserve">Елизавета </w:t>
      </w:r>
      <w:proofErr w:type="spellStart"/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Чистохина</w:t>
      </w:r>
      <w:proofErr w:type="spellEnd"/>
      <w:r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 xml:space="preserve"> </w:t>
      </w:r>
      <w:bookmarkStart w:id="0" w:name="_GoBack"/>
      <w:bookmarkEnd w:id="0"/>
      <w:r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м</w:t>
      </w:r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 xml:space="preserve">енеджер по обучению компании </w:t>
      </w:r>
      <w:proofErr w:type="spellStart"/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Solopharm</w:t>
      </w:r>
      <w:proofErr w:type="spellEnd"/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При фармацевтическом консультировании важно учитывать, что общий срок годности препарата и период его использования после первого вскрытия — не одно и то же. После вскрытия значение имеют свойства самого препарата, условия хранения и особенности первичной упаковки.</w:t>
      </w: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br/>
      </w: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br/>
        <w:t>В статье рассмотрим, какие сроки необходимо учитывать при работе с лекарственными препаратами и на что обратить внимание после вскрытия первичной упаковки.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Тема сроков годности тесно связана с правильным хранением и регулярной проверкой домашней аптечки. Эти вопросы подробно разбираются в курсе </w:t>
      </w:r>
      <w:hyperlink r:id="rId7" w:tgtFrame="_blank" w:history="1">
        <w:r w:rsidRPr="00DE4CE0">
          <w:rPr>
            <w:rFonts w:ascii="Ruda" w:eastAsia="Times New Roman" w:hAnsi="Ruda" w:cs="Times New Roman"/>
            <w:sz w:val="23"/>
            <w:szCs w:val="23"/>
            <w:lang w:eastAsia="ru-RU"/>
          </w:rPr>
          <w:t>«Домашняя аптечка»</w:t>
        </w:r>
      </w:hyperlink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. В статье подробнее рассмотрим, какие сроки нужно учитывать и как оценивать пригодность уже имеющихся препаратов.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Что означает срок годности лекарственного препарата и где его искать?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Срок годности — период времени, в течение которого лекарственное средство должно полностью соответствовать спецификации на срок годности при надлежащем хранении в условиях, указанных в фармакопейной статье и на упаковке.</w:t>
      </w:r>
    </w:p>
    <w:p w:rsidR="00DE4CE0" w:rsidRPr="00DE4CE0" w:rsidRDefault="00DE4CE0" w:rsidP="00DE4CE0">
      <w:pPr>
        <w:shd w:val="clear" w:color="auto" w:fill="FCFCFC"/>
        <w:spacing w:after="100" w:line="240" w:lineRule="auto"/>
        <w:contextualSpacing/>
        <w:jc w:val="both"/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ОФС 1.1.0009 «</w:t>
      </w:r>
      <w:proofErr w:type="spellStart"/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СтабильностьСтабильность</w:t>
      </w:r>
      <w:proofErr w:type="spellEnd"/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 xml:space="preserve"> лекарственного средства — это способность препарата сохранять свои свойства в течение установленного срока годности при соблюдении предусмотренных условий </w:t>
      </w:r>
      <w:proofErr w:type="spellStart"/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хранения.</w:t>
      </w:r>
      <w:hyperlink r:id="rId8" w:tgtFrame="_blank" w:history="1">
        <w:r w:rsidRPr="00DE4CE0">
          <w:rPr>
            <w:rFonts w:ascii="Ruda" w:eastAsia="Times New Roman" w:hAnsi="Ruda" w:cs="Times New Roman"/>
            <w:i/>
            <w:iCs/>
            <w:sz w:val="23"/>
            <w:szCs w:val="23"/>
            <w:lang w:eastAsia="ru-RU"/>
          </w:rPr>
          <w:t>Подробнее</w:t>
        </w:r>
        <w:proofErr w:type="spellEnd"/>
      </w:hyperlink>
      <w:r w:rsidRPr="00DE4CE0">
        <w:rPr>
          <w:rFonts w:ascii="Ruda" w:eastAsia="Times New Roman" w:hAnsi="Ruda" w:cs="Times New Roman"/>
          <w:i/>
          <w:iCs/>
          <w:sz w:val="23"/>
          <w:szCs w:val="23"/>
          <w:lang w:eastAsia="ru-RU"/>
        </w:rPr>
        <w:t> и сроки годности лекарственных средств», Государственная фармакопея Российской Федерации XV издания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Срок годности входит в обязательную маркировку лекарственного препарата. В соответствии со статьей 46 </w:t>
      </w:r>
      <w:hyperlink r:id="rId9" w:tgtFrame="_blank" w:history="1">
        <w:r w:rsidRPr="00DE4CE0">
          <w:rPr>
            <w:rFonts w:ascii="Ruda" w:eastAsia="Times New Roman" w:hAnsi="Ruda" w:cs="Times New Roman"/>
            <w:sz w:val="23"/>
            <w:szCs w:val="23"/>
            <w:lang w:eastAsia="ru-RU"/>
          </w:rPr>
          <w:t>Федерального закона № 61-ФЗ</w:t>
        </w:r>
      </w:hyperlink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 его указывают на первичной упаковке — флаконе, ампуле или блистере, а также на вторичной потребительской упаковке, если она предусмотрена.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Если дата истечения срока годности указана только как месяц и год, последним днем срока годности считается последнее число указанного месяца. Это предусмотрено действующими требованиями ЕАЭС к маркировке лекарственных средств, определенным Решением Совета Евразийской экономической комиссии от 3 ноября 2016 г. № 76.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При консультировании можно напомнить покупателю, что важно сохранять упаковку так, чтобы название препарата и срок годности можно было однозначно прочитать.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noProof/>
          <w:sz w:val="23"/>
          <w:szCs w:val="23"/>
          <w:lang w:eastAsia="ru-RU"/>
        </w:rPr>
        <w:lastRenderedPageBreak/>
        <w:drawing>
          <wp:inline distT="0" distB="0" distL="0" distR="0" wp14:anchorId="6421CB5F" wp14:editId="7F83D845">
            <wp:extent cx="5410200" cy="2601058"/>
            <wp:effectExtent l="0" t="0" r="0" b="8890"/>
            <wp:docPr id="2" name="Рисунок 2" descr="https://storage.iq-provision.ru/attachment/2466/o.174924e8d165bc5585aa5d0e78c39c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orage.iq-provision.ru/attachment/2466/o.174924e8d165bc5585aa5d0e78c39c9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645" cy="260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Как первичная упаковка влияет на срок использования после вскрытия?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После первого вскрытия меняется степень защиты препарата от воздействия внешней среды. Конструкция первичной упаковки и способ отбора дозы влияют на эту защиту и учитываются производителем при установлении срока дальнейшего использования препарата.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По количеству доз первичная упаковка может быть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однодозовой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или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многодозовой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. У каждого варианта есть свои особенности использования после вскрытия.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proofErr w:type="spellStart"/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Многодозовая</w:t>
      </w:r>
      <w:proofErr w:type="spellEnd"/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 xml:space="preserve"> упаковка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Конструкция может решать разные задачи. Плотно закрывающаяся крышка ограничивает воздействие влаги и воздуха, дозатор или помпа уменьшает непосредственный контакт с содержимым, а специальные клапанные и фильтрующие системы помогают снизить риск загрязнения препарата.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Такие конструктивные решения имеют особое значение для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многодозовых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стерильных препаратов без антимикробных консервантов. Например, в офтальмологических средствах могут применять систему OSD (флакон с одноступенчатой капельницей). При сжатии флакона клапанный механизм позволяет вывести каплю, после чего клапан закрывается, а поступающий внутрь воздух проходит через фильтр. Это помогает защитить оставшийся раствор при многократном использовании.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Конструкция первичной упаковки может по-разному ограничивать контакт препарата с внешней средой. Например, в системе BOV (мешок на клапане) раствор находится в герметичном мешке внутри аэрозольного баллона и выдается через клапан. Такая барьерная конструкция позволяет сохранять изоляцию содержимого в процессе многократного использования.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При этом конструкция упаковки не определяет конкретный срок использования. Его устанавливают для каждого препарата отдельно, поэтому ориентироваться необходимо на листок-вкладыш и сведения производителя.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proofErr w:type="spellStart"/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Однодозовая</w:t>
      </w:r>
      <w:proofErr w:type="spellEnd"/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 xml:space="preserve"> упаковка и </w:t>
      </w:r>
      <w:proofErr w:type="spellStart"/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юнидозы</w:t>
      </w:r>
      <w:proofErr w:type="spellEnd"/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В 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однодозовой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упаковке содержимое каждой дозы остается герметично закрытой до момента его вскрытия. Такой формат позволяет защитить остальные дозы от воздействия внешней среды и хорошо подходит для препаратов, чувствительных к загрязнению или выпускаемых без консервантов.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Один из примеров —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юнидозы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, которые широко используются для офтальмологических и некоторых других жидких лекарственных форм. В отдельном контейнере находится количество раствора, рассчитанное на одно применение или иной режим, предусмотренный производителем.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После вскрытия упаковка уже не защищает препарат так же, как до открытия. Поэтому остаток раствора нельзя просто оставлять для следующего применения. Нужно проверить в инструкции, можно ли использовать препарат повторно и сколько он хранится после вскрытия. При консультировании также важно проверить, установлен ли отдельный срок хранения не вскрытых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однодозовых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упаковок после открытия внешнего пакета.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Что важно учитывать при консультировании?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При консультировании по применению препарата после вскрытия стоит проверить:</w:t>
      </w:r>
    </w:p>
    <w:p w:rsidR="00DE4CE0" w:rsidRPr="00DE4CE0" w:rsidRDefault="00DE4CE0" w:rsidP="00DE4CE0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однодозовая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она или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многодозовая</w:t>
      </w:r>
      <w:proofErr w:type="spellEnd"/>
    </w:p>
    <w:p w:rsidR="00DE4CE0" w:rsidRPr="00DE4CE0" w:rsidRDefault="00DE4CE0" w:rsidP="00DE4CE0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установлен ли отдельный срок после первого вскрытия</w:t>
      </w:r>
    </w:p>
    <w:p w:rsidR="00DE4CE0" w:rsidRPr="00DE4CE0" w:rsidRDefault="00DE4CE0" w:rsidP="00DE4CE0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lastRenderedPageBreak/>
        <w:t>меняются ли после вскрытия условия хранения</w:t>
      </w:r>
    </w:p>
    <w:p w:rsidR="00DE4CE0" w:rsidRPr="00DE4CE0" w:rsidRDefault="00DE4CE0" w:rsidP="00DE4CE0">
      <w:pPr>
        <w:numPr>
          <w:ilvl w:val="0"/>
          <w:numId w:val="3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допускается ли повторное использование содержимого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однодозовой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 упаковки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Такой подход помогает фармацевту оценивать препарат с учетом лекарственной формы и особенностей его первичной упаковки.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Почему условия хранения могут повлиять на срок годности?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Срок годности устанавливается с учетом определенных условий хранения. Согласно </w:t>
      </w:r>
      <w:hyperlink r:id="rId11" w:tgtFrame="_blank" w:history="1">
        <w:r w:rsidRPr="00DE4CE0">
          <w:rPr>
            <w:rFonts w:ascii="Ruda" w:eastAsia="Times New Roman" w:hAnsi="Ruda" w:cs="Times New Roman"/>
            <w:sz w:val="23"/>
            <w:szCs w:val="23"/>
            <w:lang w:eastAsia="ru-RU"/>
          </w:rPr>
          <w:t>ОФС.1.1.0010 «Хранение лекарственных средств»</w:t>
        </w:r>
      </w:hyperlink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, температура, влажность и другие параметры должны соответствовать требованиям для конкретного препарата.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Обратить дополнительное внимание на его пригодность нужно, если препарат:</w:t>
      </w:r>
    </w:p>
    <w:p w:rsidR="00DE4CE0" w:rsidRPr="00DE4CE0" w:rsidRDefault="00DE4CE0" w:rsidP="00DE4CE0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был нарушен установленный температурный режим</w:t>
      </w:r>
    </w:p>
    <w:p w:rsidR="00DE4CE0" w:rsidRPr="00DE4CE0" w:rsidRDefault="00DE4CE0" w:rsidP="00DE4CE0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замерзал, хотя замораживание не допускается</w:t>
      </w:r>
    </w:p>
    <w:p w:rsidR="00DE4CE0" w:rsidRPr="00DE4CE0" w:rsidRDefault="00DE4CE0" w:rsidP="00DE4CE0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не соблюдались требования к защите от света или влаги</w:t>
      </w:r>
    </w:p>
    <w:p w:rsidR="00DE4CE0" w:rsidRPr="00DE4CE0" w:rsidRDefault="00DE4CE0" w:rsidP="00DE4CE0">
      <w:pPr>
        <w:numPr>
          <w:ilvl w:val="0"/>
          <w:numId w:val="4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хранился в неплотно закрытой или поврежденной упаковке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Например, если препарат необходимо хранить в холодильнике, одна только действующая дата на упаковке не позволяет оценить его пригодность, если условия хранения были существенно нарушены.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Поэтому при проверке домашней аптечки важно учитывать срок и требования производителя к хранению препарата.</w:t>
      </w:r>
    </w:p>
    <w:p w:rsidR="00DE4CE0" w:rsidRPr="00DE4CE0" w:rsidRDefault="00DE4CE0" w:rsidP="00DE4CE0">
      <w:pPr>
        <w:shd w:val="clear" w:color="auto" w:fill="FCFCFC"/>
        <w:spacing w:after="100" w:afterAutospacing="1" w:line="345" w:lineRule="atLeast"/>
        <w:contextualSpacing/>
        <w:jc w:val="both"/>
        <w:outlineLvl w:val="2"/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7"/>
          <w:szCs w:val="27"/>
          <w:lang w:eastAsia="ru-RU"/>
        </w:rPr>
        <w:t>Выводы</w:t>
      </w:r>
    </w:p>
    <w:p w:rsidR="00DE4CE0" w:rsidRPr="00DE4CE0" w:rsidRDefault="00DE4CE0" w:rsidP="00DE4CE0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После вскрытия или разведения препарата необходимо учитывать не только общий срок годности, но и отдельный срок использования, если он установлен.</w:t>
      </w:r>
    </w:p>
    <w:p w:rsidR="00DE4CE0" w:rsidRPr="00DE4CE0" w:rsidRDefault="00DE4CE0" w:rsidP="00DE4CE0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Тип первичной упаковки и особенности ее конструкции учитывают вместе со сроком годности и условиями хранения, но не используют как самостоятельный критерий допустимого срока применения.</w:t>
      </w:r>
    </w:p>
    <w:p w:rsidR="00DE4CE0" w:rsidRPr="00DE4CE0" w:rsidRDefault="00DE4CE0" w:rsidP="00DE4CE0">
      <w:pPr>
        <w:numPr>
          <w:ilvl w:val="0"/>
          <w:numId w:val="5"/>
        </w:numPr>
        <w:shd w:val="clear" w:color="auto" w:fill="FCFCFC"/>
        <w:spacing w:before="100" w:beforeAutospacing="1" w:after="100" w:afterAutospacing="1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Если срок годности истек, условия хранения были нарушены или внешний вид препарата не соответствует описанию в листке-вкладыше, его дальнейшее использование рекомендовать не следует.</w:t>
      </w:r>
    </w:p>
    <w:p w:rsidR="00DE4CE0" w:rsidRPr="00DE4CE0" w:rsidRDefault="00DE4CE0" w:rsidP="00DE4CE0">
      <w:pPr>
        <w:shd w:val="clear" w:color="auto" w:fill="FCFCFC"/>
        <w:spacing w:after="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pict>
          <v:rect id="_x0000_i1029" style="width:0;height:1.5pt" o:hralign="center" o:hrstd="t" o:hr="t" fillcolor="#a0a0a0" stroked="f"/>
        </w:pic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b/>
          <w:bCs/>
          <w:sz w:val="23"/>
          <w:szCs w:val="23"/>
          <w:lang w:eastAsia="ru-RU"/>
        </w:rPr>
        <w:t>Источники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1. Государственная фармакопея РФ XV издания, ОФС.1.1.0009 «Стабильность и сроки годности лекарственных средств».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2. Государственная фармакопея РФ XV издания, ОФС.1.1.0010 «Хранение лекарственных средств».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3. Решение Совета ЕЭК от 03.11.2016 № 88, ред. от 21.02.2025, приложение № 7 «Требования к указанию максимального срока годности (срока хранения) стерильных лекарственных препаратов после первого вскрытия или восстановления».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4. Федеральный закон от 12.04.2010 № 61-ФЗ «Об обращении лекарственных средств».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 xml:space="preserve">5. А. И. </w:t>
      </w:r>
      <w:proofErr w:type="spellStart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Беланова</w:t>
      </w:r>
      <w:proofErr w:type="spellEnd"/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, Е. Л. Ковалева, Л. И. Митькина «Сравнение подходов к изучению стабильности лекарственных средств в рамках национальной процедуры в России и Евразийском экономическом союзе», Регуляторные исследования и экспертиза лекарственных средств, 2021, 11(1):16—23.</w:t>
      </w:r>
    </w:p>
    <w:p w:rsidR="00DE4CE0" w:rsidRPr="00DE4CE0" w:rsidRDefault="00DE4CE0" w:rsidP="00DE4CE0">
      <w:pPr>
        <w:shd w:val="clear" w:color="auto" w:fill="FCFCFC"/>
        <w:spacing w:before="210" w:after="210" w:line="240" w:lineRule="auto"/>
        <w:contextualSpacing/>
        <w:jc w:val="both"/>
        <w:rPr>
          <w:rFonts w:ascii="Ruda" w:eastAsia="Times New Roman" w:hAnsi="Ruda" w:cs="Times New Roman"/>
          <w:sz w:val="23"/>
          <w:szCs w:val="23"/>
          <w:lang w:eastAsia="ru-RU"/>
        </w:rPr>
      </w:pPr>
      <w:r w:rsidRPr="00DE4CE0">
        <w:rPr>
          <w:rFonts w:ascii="Ruda" w:eastAsia="Times New Roman" w:hAnsi="Ruda" w:cs="Times New Roman"/>
          <w:sz w:val="23"/>
          <w:szCs w:val="23"/>
          <w:lang w:eastAsia="ru-RU"/>
        </w:rPr>
        <w:t>6. Решение Совета Евразийской экономической комиссии от 3 ноября 2016 г. № 76 Об утверждении Требований к маркировке лекарственных средств для медицинского применения и ветеринарных лекарственных средств.</w:t>
      </w:r>
    </w:p>
    <w:p w:rsidR="00D67D72" w:rsidRPr="00DE4CE0" w:rsidRDefault="00D67D72" w:rsidP="00DE4CE0">
      <w:pPr>
        <w:contextualSpacing/>
        <w:jc w:val="both"/>
      </w:pPr>
    </w:p>
    <w:sectPr w:rsidR="00D67D72" w:rsidRPr="00DE4CE0" w:rsidSect="00DE4C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d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A1E2E"/>
    <w:multiLevelType w:val="multilevel"/>
    <w:tmpl w:val="1460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492545"/>
    <w:multiLevelType w:val="multilevel"/>
    <w:tmpl w:val="F83E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567F7C"/>
    <w:multiLevelType w:val="multilevel"/>
    <w:tmpl w:val="135E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52812"/>
    <w:multiLevelType w:val="multilevel"/>
    <w:tmpl w:val="E956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AD4175"/>
    <w:multiLevelType w:val="multilevel"/>
    <w:tmpl w:val="F04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C4"/>
    <w:rsid w:val="002716C4"/>
    <w:rsid w:val="00285A07"/>
    <w:rsid w:val="00D67D72"/>
    <w:rsid w:val="00DE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6D0D"/>
  <w15:chartTrackingRefBased/>
  <w15:docId w15:val="{FB3270E8-52F6-42BA-B0FE-B7F5EC7F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4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E4C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C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4C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E4CE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E4CE0"/>
    <w:rPr>
      <w:i/>
      <w:iCs/>
    </w:rPr>
  </w:style>
  <w:style w:type="character" w:styleId="HTML">
    <w:name w:val="HTML Cite"/>
    <w:basedOn w:val="a0"/>
    <w:uiPriority w:val="99"/>
    <w:semiHidden/>
    <w:unhideWhenUsed/>
    <w:rsid w:val="00DE4CE0"/>
    <w:rPr>
      <w:i/>
      <w:iCs/>
    </w:rPr>
  </w:style>
  <w:style w:type="character" w:customStyle="1" w:styleId="glossary-hint">
    <w:name w:val="glossary-hint"/>
    <w:basedOn w:val="a0"/>
    <w:rsid w:val="00DE4CE0"/>
  </w:style>
  <w:style w:type="character" w:customStyle="1" w:styleId="glossary-hintpopup">
    <w:name w:val="glossary-hint__popup"/>
    <w:basedOn w:val="a0"/>
    <w:rsid w:val="00DE4CE0"/>
  </w:style>
  <w:style w:type="character" w:customStyle="1" w:styleId="glossary-hinttext">
    <w:name w:val="glossary-hint__text"/>
    <w:basedOn w:val="a0"/>
    <w:rsid w:val="00DE4CE0"/>
  </w:style>
  <w:style w:type="paragraph" w:customStyle="1" w:styleId="referencetitle">
    <w:name w:val="reference__title"/>
    <w:basedOn w:val="a"/>
    <w:rsid w:val="00DE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4CE0"/>
    <w:rPr>
      <w:b/>
      <w:bCs/>
    </w:rPr>
  </w:style>
  <w:style w:type="paragraph" w:customStyle="1" w:styleId="referencelink">
    <w:name w:val="reference__link"/>
    <w:basedOn w:val="a"/>
    <w:rsid w:val="00DE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61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43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6517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36" w:space="15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armarf.ru/glossary/stabilnost-lekarstvennogo-sredstv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q-provision.ru/courses/domasnaa-apteck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q-provision.ru/docs/obsaa-farmakopejnaa-stata-hranenie-lekarstvennyh-sredstv-ofs110010" TargetMode="External"/><Relationship Id="rId5" Type="http://schemas.openxmlformats.org/officeDocument/2006/relationships/hyperlink" Target="https://pharmarf.ru/concilium/catalog/5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iq-provision.ru/docs/federalnyj-zakon-no61-fz-ob-obrasenii-lekarstvennyh-sredstv-ot-12042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1224</Words>
  <Characters>6980</Characters>
  <Application>Microsoft Office Word</Application>
  <DocSecurity>0</DocSecurity>
  <Lines>58</Lines>
  <Paragraphs>16</Paragraphs>
  <ScaleCrop>false</ScaleCrop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 1</dc:creator>
  <cp:keywords/>
  <dc:description/>
  <cp:lastModifiedBy>Ноутбук 1</cp:lastModifiedBy>
  <cp:revision>2</cp:revision>
  <dcterms:created xsi:type="dcterms:W3CDTF">2026-09-16T04:23:00Z</dcterms:created>
  <dcterms:modified xsi:type="dcterms:W3CDTF">2026-09-16T04:24:00Z</dcterms:modified>
</cp:coreProperties>
</file>