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735" w:hRule="atLeast"/>
        </w:trPr>
        <w:tc>
          <w:tcPr>
            <w:tcW w:w="10875" w:type="dxa"/>
            <w:gridSpan w:val="52"/>
            <w:tcBorders>
              <w:top w:val="none" w:sz="5" w:space="0" w:color="auto"/>
              <w:left w:val="none" w:sz="5" w:space="0" w:color="auto"/>
            </w:tcBorders>
            <w:shd w:val="clear" w:color="auto" w:fill="auto"/>
            <w:textDirection w:val="lrTb"/>
            <w:vAlign w:val="center"/>
          </w:tcPr>
          <w:p>
            <w:pPr>
              <w:spacing w:after="0"/>
              <w:wordWrap w:val="1"/>
              <w:jc w:val="center"/>
            </w:pPr>
            <w:r>
              <w:rPr>
                <w:rFonts w:ascii="Times New Roman" w:hAnsi="Times New Roman"/>
                <w:b/>
                <w:sz w:val="28"/>
                <w:szCs w:val="28"/>
              </w:rPr>
              <w:t>ФЕДЕРАЛЬНОЕ ГОСУДАРСТВЕННОЕ БЮДЖЕТНОЕ ОБРАЗОВАТЕЛЬНОЕ УЧРЕЖДЕНИЕ ВЫСШЕГО ОБРАЗОВАНИЯ</w:t>
            </w:r>
          </w:p>
        </w:tc>
      </w:tr>
      <w:tr>
        <w:trPr>
          <w:cantSplit/>
          <w:trHeight w:val="0" w:hRule="auto"/>
        </w:trPr>
        <w:tc>
          <w:tcPr>
            <w:tcW w:w="10875" w:type="dxa"/>
            <w:gridSpan w:val="52"/>
            <w:tcBorders>
              <w:top w:val="none" w:sz="5" w:space="0" w:color="auto"/>
              <w:left w:val="none" w:sz="5" w:space="0" w:color="auto"/>
            </w:tcBorders>
            <w:shd w:val="clear" w:color="auto" w:fill="auto"/>
            <w:textDirection w:val="lrTb"/>
            <w:vAlign w:val="center"/>
          </w:tcPr>
          <w:p>
            <w:pPr>
              <w:spacing w:after="0"/>
              <w:wordWrap w:val="1"/>
              <w:jc w:val="center"/>
            </w:pPr>
            <w:r>
              <w:rPr>
                <w:rFonts w:ascii="Times New Roman" w:hAnsi="Times New Roman"/>
                <w:b/>
                <w:sz w:val="28"/>
                <w:szCs w:val="28"/>
              </w:rPr>
              <w:t>«КАЗАНСКИЙ ГОСУДАРСТВЕННЫЙ МЕДИЦИНСКИЙ УНИВЕРСИТЕТ»</w:t>
            </w:r>
          </w:p>
        </w:tc>
      </w:tr>
      <w:tr>
        <w:trPr>
          <w:cantSplit/>
          <w:trHeight w:val="0" w:hRule="auto"/>
        </w:trPr>
        <w:tc>
          <w:tcPr>
            <w:tcW w:w="10875" w:type="dxa"/>
            <w:gridSpan w:val="52"/>
            <w:tcBorders>
              <w:top w:val="none" w:sz="5" w:space="0" w:color="auto"/>
              <w:left w:val="none" w:sz="5" w:space="0" w:color="auto"/>
            </w:tcBorders>
            <w:shd w:val="clear" w:color="auto" w:fill="auto"/>
            <w:textDirection w:val="lrTb"/>
            <w:vAlign w:val="center"/>
          </w:tcPr>
          <w:p>
            <w:pPr>
              <w:spacing w:after="0"/>
              <w:wordWrap w:val="1"/>
              <w:jc w:val="center"/>
            </w:pPr>
            <w:r>
              <w:rPr>
                <w:rFonts w:ascii="Times New Roman" w:hAnsi="Times New Roman"/>
                <w:b/>
                <w:sz w:val="28"/>
                <w:szCs w:val="28"/>
              </w:rPr>
              <w:t>МИНИСТЕРСТВА ЗДРАВООХРАНЕНИЯ РОССИЙСКОЙ ФЕДЕРАЦИИ</w:t>
            </w: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center"/>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1"/>
        <w:tblW w:w="5000" w:type="pct"/>
        <w:tblLayout w:type="fixed"/>
        <w:tblCellMar>
          <w:left w:w="0" w:type="dxa"/>
          <w:right w:w="0" w:type="dxa"/>
        </w:tblCellMar>
        <w:tblLook w:val="04A0"/>
      </w:tblPr>
      <w:tblGrid>
        <w:gridCol w:w="1635"/>
        <w:gridCol w:w="1650"/>
        <w:gridCol w:w="1410"/>
        <w:gridCol w:w="1440"/>
        <w:gridCol w:w="1500"/>
        <w:gridCol w:w="1905"/>
        <w:gridCol w:w="1335"/>
      </w:tblGrid>
      <w:tr>
        <w:trPr>
          <w:cantSplit/>
          <w:trHeight w:val="0" w:hRule="auto"/>
        </w:trPr>
        <w:tc>
          <w:tcPr>
            <w:tcW w:w="3285" w:type="dxa"/>
            <w:gridSpan w:val="2"/>
            <w:tcBorders>
              <w:top w:val="none" w:sz="5" w:space="0" w:color="auto"/>
              <w:left w:val="none" w:sz="5" w:space="0" w:color="auto"/>
            </w:tcBorders>
            <w:shd w:val="clear" w:color="auto" w:fill="auto"/>
            <w:textDirection w:val="lrTb"/>
            <w:vAlign w:val="center"/>
          </w:tcPr>
          <w:p>
            <w:pPr>
              <w:spacing w:after="0"/>
              <w:wordWrap w:val="1"/>
              <w:jc w:val="center"/>
            </w:pPr>
          </w:p>
        </w:tc>
        <w:tc>
          <w:tcPr>
            <w:tcW w:w="2850" w:type="dxa"/>
            <w:gridSpan w:val="2"/>
            <w:shd w:val="clear" w:color="auto" w:fill="auto"/>
            <w:textDirection w:val="lrTb"/>
            <w:vAlign w:val="bottom"/>
          </w:tcPr>
          <w:p>
            <w:pPr>
              <w:spacing w:after="0"/>
              <w:jc w:val="left"/>
            </w:pPr>
          </w:p>
        </w:tc>
        <w:tc>
          <w:tcPr>
            <w:tcW w:w="1500" w:type="dxa"/>
            <w:shd w:val="clear" w:color="auto" w:fill="auto"/>
            <w:textDirection w:val="lrTb"/>
            <w:vAlign w:val="bottom"/>
          </w:tcPr>
          <w:p>
            <w:pPr>
              <w:spacing w:after="0"/>
              <w:jc w:val="left"/>
            </w:pPr>
          </w:p>
        </w:tc>
        <w:tc>
          <w:tcPr>
            <w:tcW w:w="3240" w:type="dxa"/>
            <w:gridSpan w:val="2"/>
            <w:shd w:val="clear" w:color="auto" w:fill="auto"/>
            <w:textDirection w:val="lrTb"/>
            <w:vAlign w:val="bottom"/>
          </w:tcPr>
          <w:p>
            <w:pPr>
              <w:spacing w:after="0"/>
              <w:jc w:val="left"/>
            </w:pPr>
          </w:p>
        </w:tc>
      </w:tr>
      <w:tr>
        <w:trPr>
          <w:cantSplit/>
          <w:trHeight w:val="0" w:hRule="auto"/>
        </w:trPr>
        <w:tc>
          <w:tcPr>
            <w:tcW w:w="3285" w:type="dxa"/>
            <w:gridSpan w:val="2"/>
            <w:tcBorders>
              <w:top w:val="none" w:sz="5" w:space="0" w:color="auto"/>
              <w:left w:val="none" w:sz="5" w:space="0" w:color="auto"/>
            </w:tcBorders>
            <w:shd w:val="clear" w:color="auto" w:fill="auto"/>
            <w:textDirection w:val="lrTb"/>
            <w:vAlign w:val="center"/>
          </w:tcPr>
          <w:p>
            <w:pPr>
              <w:spacing w:after="0"/>
              <w:wordWrap w:val="1"/>
              <w:jc w:val="center"/>
            </w:pPr>
          </w:p>
        </w:tc>
        <w:tc>
          <w:tcPr>
            <w:tcW w:w="2850" w:type="dxa"/>
            <w:gridSpan w:val="2"/>
            <w:shd w:val="clear" w:color="auto" w:fill="auto"/>
            <w:textDirection w:val="lrTb"/>
            <w:vAlign w:val="bottom"/>
          </w:tcPr>
          <w:p>
            <w:pPr>
              <w:spacing w:after="0"/>
              <w:jc w:val="left"/>
            </w:pPr>
          </w:p>
        </w:tc>
        <w:tc>
          <w:tcPr>
            <w:tcW w:w="1500" w:type="dxa"/>
            <w:shd w:val="clear" w:color="auto" w:fill="auto"/>
            <w:textDirection w:val="lrTb"/>
            <w:vAlign w:val="bottom"/>
          </w:tcPr>
          <w:p>
            <w:pPr>
              <w:spacing w:after="0"/>
              <w:jc w:val="left"/>
            </w:pPr>
          </w:p>
        </w:tc>
        <w:tc>
          <w:tcPr>
            <w:tcW w:w="3240" w:type="dxa"/>
            <w:gridSpan w:val="2"/>
            <w:shd w:val="clear" w:color="auto" w:fill="auto"/>
            <w:textDirection w:val="lrTb"/>
            <w:vAlign w:val="bottom"/>
          </w:tcPr>
          <w:p>
            <w:pPr>
              <w:spacing w:after="0"/>
              <w:jc w:val="left"/>
            </w:pPr>
          </w:p>
        </w:tc>
      </w:tr>
      <w:tr>
        <w:trPr>
          <w:cantSplit/>
          <w:trHeight w:val="0" w:hRule="auto"/>
        </w:trPr>
        <w:tc>
          <w:tcPr>
            <w:tcW w:w="3285" w:type="dxa"/>
            <w:gridSpan w:val="2"/>
            <w:tcBorders>
              <w:top w:val="none" w:sz="5" w:space="0" w:color="auto"/>
              <w:left w:val="none" w:sz="5" w:space="0" w:color="auto"/>
            </w:tcBorders>
            <w:shd w:val="clear" w:color="auto" w:fill="auto"/>
            <w:textDirection w:val="lrTb"/>
            <w:vAlign w:val="center"/>
          </w:tcPr>
          <w:p>
            <w:pPr>
              <w:spacing w:after="0"/>
              <w:wordWrap w:val="1"/>
              <w:jc w:val="center"/>
            </w:pPr>
          </w:p>
        </w:tc>
        <w:tc>
          <w:tcPr>
            <w:tcW w:w="2850" w:type="dxa"/>
            <w:gridSpan w:val="2"/>
            <w:shd w:val="clear" w:color="auto" w:fill="auto"/>
            <w:textDirection w:val="lrTb"/>
            <w:vAlign w:val="bottom"/>
          </w:tcPr>
          <w:p>
            <w:pPr>
              <w:spacing w:after="0"/>
              <w:jc w:val="left"/>
            </w:pPr>
          </w:p>
        </w:tc>
        <w:tc>
          <w:tcPr>
            <w:tcW w:w="1500" w:type="dxa"/>
            <w:shd w:val="clear" w:color="auto" w:fill="auto"/>
            <w:textDirection w:val="lrTb"/>
            <w:vAlign w:val="bottom"/>
          </w:tcPr>
          <w:p>
            <w:pPr>
              <w:spacing w:after="0"/>
              <w:jc w:val="right"/>
            </w:pPr>
          </w:p>
        </w:tc>
        <w:tc>
          <w:tcPr>
            <w:tcW w:w="3240" w:type="dxa"/>
            <w:gridSpan w:val="2"/>
            <w:shd w:val="clear" w:color="auto" w:fill="auto"/>
            <w:textDirection w:val="lrTb"/>
            <w:vAlign w:val="bottom"/>
          </w:tcPr>
          <w:p>
            <w:pPr>
              <w:spacing w:after="0"/>
              <w:jc w:val="left"/>
            </w:pPr>
          </w:p>
        </w:tc>
      </w:tr>
      <w:tr>
        <w:trPr>
          <w:cantSplit/>
          <w:trHeight w:val="0" w:hRule="auto"/>
        </w:trPr>
        <w:tc>
          <w:tcPr>
            <w:tcW w:w="3285" w:type="dxa"/>
            <w:gridSpan w:val="2"/>
            <w:tcBorders>
              <w:top w:val="none" w:sz="5" w:space="0" w:color="auto"/>
              <w:left w:val="none" w:sz="5" w:space="0" w:color="auto"/>
            </w:tcBorders>
            <w:shd w:val="clear" w:color="auto" w:fill="auto"/>
            <w:textDirection w:val="lrTb"/>
            <w:vAlign w:val="center"/>
          </w:tcPr>
          <w:p>
            <w:pPr>
              <w:spacing w:after="0"/>
              <w:wordWrap w:val="1"/>
              <w:jc w:val="center"/>
            </w:pPr>
          </w:p>
        </w:tc>
        <w:tc>
          <w:tcPr>
            <w:tcW w:w="2850" w:type="dxa"/>
            <w:gridSpan w:val="2"/>
            <w:shd w:val="clear" w:color="auto" w:fill="auto"/>
            <w:textDirection w:val="lrTb"/>
            <w:vAlign w:val="bottom"/>
          </w:tcPr>
          <w:p>
            <w:pPr>
              <w:spacing w:after="0"/>
              <w:jc w:val="left"/>
            </w:pPr>
          </w:p>
        </w:tc>
        <w:tc>
          <w:tcPr>
            <w:tcW w:w="1500" w:type="dxa"/>
            <w:shd w:val="clear" w:color="auto" w:fill="auto"/>
            <w:textDirection w:val="lrTb"/>
            <w:vAlign w:val="bottom"/>
          </w:tcPr>
          <w:p>
            <w:pPr>
              <w:spacing w:after="0"/>
              <w:jc w:val="left"/>
            </w:pPr>
          </w:p>
        </w:tc>
        <w:tc>
          <w:tcPr>
            <w:tcW w:w="3240" w:type="dxa"/>
            <w:gridSpan w:val="2"/>
            <w:shd w:val="clear" w:color="auto" w:fill="auto"/>
            <w:textDirection w:val="lrTb"/>
            <w:vAlign w:val="bottom"/>
          </w:tcPr>
          <w:p>
            <w:pPr>
              <w:spacing w:after="0"/>
              <w:jc w:val="left"/>
            </w:pPr>
          </w:p>
        </w:tc>
      </w:tr>
      <w:tr>
        <w:trPr>
          <w:cantSplit/>
          <w:trHeight w:val="0" w:hRule="auto"/>
        </w:trPr>
        <w:tc>
          <w:tcPr>
            <w:tcW w:w="3285" w:type="dxa"/>
            <w:gridSpan w:val="2"/>
            <w:tcBorders>
              <w:top w:val="none" w:sz="5" w:space="0" w:color="auto"/>
              <w:left w:val="none" w:sz="5" w:space="0" w:color="auto"/>
            </w:tcBorders>
            <w:shd w:val="clear" w:color="auto" w:fill="auto"/>
            <w:textDirection w:val="lrTb"/>
            <w:vAlign w:val="center"/>
          </w:tcPr>
          <w:p>
            <w:pPr>
              <w:spacing w:after="0"/>
              <w:wordWrap w:val="1"/>
              <w:jc w:val="center"/>
            </w:pPr>
          </w:p>
        </w:tc>
        <w:tc>
          <w:tcPr>
            <w:tcW w:w="2850" w:type="dxa"/>
            <w:gridSpan w:val="2"/>
            <w:shd w:val="clear" w:color="auto" w:fill="auto"/>
            <w:textDirection w:val="lrTb"/>
            <w:vAlign w:val="bottom"/>
          </w:tcPr>
          <w:p>
            <w:pPr>
              <w:spacing w:after="0"/>
              <w:jc w:val="left"/>
            </w:pPr>
          </w:p>
        </w:tc>
        <w:tc>
          <w:tcPr>
            <w:tcW w:w="1500" w:type="dxa"/>
            <w:shd w:val="clear" w:color="auto" w:fill="auto"/>
            <w:textDirection w:val="lrTb"/>
            <w:vAlign w:val="bottom"/>
          </w:tcPr>
          <w:p>
            <w:pPr>
              <w:spacing w:after="0"/>
              <w:jc w:val="left"/>
            </w:pPr>
          </w:p>
        </w:tc>
        <w:tc>
          <w:tcPr>
            <w:tcW w:w="3240" w:type="dxa"/>
            <w:gridSpan w:val="2"/>
            <w:shd w:val="clear" w:color="auto" w:fill="auto"/>
            <w:textDirection w:val="lrTb"/>
            <w:vAlign w:val="bottom"/>
          </w:tcPr>
          <w:p>
            <w:pPr>
              <w:spacing w:after="0"/>
              <w:jc w:val="left"/>
            </w:pPr>
          </w:p>
        </w:tc>
      </w:tr>
      <w:tr>
        <w:trPr>
          <w:cantSplit/>
          <w:trHeight w:val="0" w:hRule="auto"/>
        </w:trPr>
        <w:tc>
          <w:tcPr>
            <w:tcW w:w="3285" w:type="dxa"/>
            <w:gridSpan w:val="2"/>
            <w:tcBorders>
              <w:top w:val="none" w:sz="5" w:space="0" w:color="auto"/>
              <w:left w:val="none" w:sz="5" w:space="0" w:color="auto"/>
            </w:tcBorders>
            <w:shd w:val="clear" w:color="auto" w:fill="auto"/>
            <w:textDirection w:val="lrTb"/>
            <w:vAlign w:val="center"/>
          </w:tcPr>
          <w:p>
            <w:pPr>
              <w:spacing w:after="0"/>
              <w:wordWrap w:val="1"/>
              <w:jc w:val="center"/>
            </w:pPr>
          </w:p>
        </w:tc>
        <w:tc>
          <w:tcPr>
            <w:tcW w:w="2850" w:type="dxa"/>
            <w:gridSpan w:val="2"/>
            <w:shd w:val="clear" w:color="auto" w:fill="auto"/>
            <w:textDirection w:val="lrTb"/>
            <w:vAlign w:val="bottom"/>
          </w:tcPr>
          <w:p>
            <w:pPr>
              <w:spacing w:after="0"/>
              <w:jc w:val="left"/>
            </w:pPr>
          </w:p>
        </w:tc>
        <w:tc>
          <w:tcPr>
            <w:tcW w:w="1500" w:type="dxa"/>
            <w:shd w:val="clear" w:color="auto" w:fill="auto"/>
            <w:textDirection w:val="lrTb"/>
            <w:vAlign w:val="bottom"/>
          </w:tcPr>
          <w:p>
            <w:pPr>
              <w:spacing w:after="0"/>
              <w:jc w:val="left"/>
            </w:pPr>
          </w:p>
        </w:tc>
        <w:tc>
          <w:tcPr>
            <w:tcW w:w="1905" w:type="dxa"/>
            <w:shd w:val="clear" w:color="auto" w:fill="auto"/>
            <w:textDirection w:val="lrTb"/>
            <w:vAlign w:val="bottom"/>
          </w:tcPr>
          <w:p>
            <w:pPr>
              <w:spacing w:after="0"/>
              <w:jc w:val="left"/>
            </w:pPr>
          </w:p>
        </w:tc>
        <w:tc>
          <w:tcPr>
            <w:tcW w:w="1335" w:type="dxa"/>
            <w:shd w:val="clear" w:color="auto" w:fill="auto"/>
            <w:textDirection w:val="lrTb"/>
            <w:vAlign w:val="bottom"/>
          </w:tcPr>
          <w:p>
            <w:pPr>
              <w:spacing w:after="0"/>
              <w:jc w:val="left"/>
            </w:pPr>
          </w:p>
        </w:tc>
      </w:tr>
    </w:tbl>
    <w:tbl>
      <w:tblPr>
        <w:tblStyle w:val="TableStyle2"/>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9915" w:type="dxa"/>
            <w:gridSpan w:val="47"/>
            <w:tcBorders>
              <w:top w:val="none" w:sz="5" w:space="0" w:color="auto"/>
              <w:left w:val="none" w:sz="5" w:space="0" w:color="auto"/>
            </w:tcBorders>
            <w:shd w:val="clear" w:color="auto" w:fill="auto"/>
            <w:textDirection w:val="lrTb"/>
            <w:vAlign w:val="center"/>
          </w:tcPr>
          <w:p>
            <w:pPr>
              <w:spacing w:after="0"/>
              <w:wordWrap w:val="1"/>
              <w:jc w:val="center"/>
            </w:pPr>
            <w:r>
              <w:rPr>
                <w:rFonts w:ascii="Times New Roman" w:hAnsi="Times New Roman"/>
                <w:b/>
                <w:sz w:val="28"/>
                <w:szCs w:val="28"/>
              </w:rPr>
              <w:t>РАБОЧАЯ ПРОГРАММА</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center"/>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3"/>
        <w:tblW w:w="5000" w:type="pct"/>
        <w:tblLayout w:type="fixed"/>
        <w:tblCellMar>
          <w:left w:w="0" w:type="dxa"/>
          <w:right w:w="0" w:type="dxa"/>
        </w:tblCellMar>
        <w:tblLook w:val="04A0"/>
      </w:tblPr>
      <w:tblGrid>
        <w:gridCol w:w="810"/>
        <w:gridCol w:w="765"/>
        <w:gridCol w:w="300"/>
        <w:gridCol w:w="75"/>
        <w:gridCol w:w="450"/>
        <w:gridCol w:w="405"/>
        <w:gridCol w:w="825"/>
        <w:gridCol w:w="1425"/>
        <w:gridCol w:w="705"/>
        <w:gridCol w:w="720"/>
        <w:gridCol w:w="1515"/>
        <w:gridCol w:w="1905"/>
        <w:gridCol w:w="975"/>
      </w:tblGrid>
      <w:tr>
        <w:trPr>
          <w:cantSplit/>
          <w:trHeight w:val="0" w:hRule="auto"/>
        </w:trPr>
        <w:tc>
          <w:tcPr>
            <w:tcW w:w="1875" w:type="dxa"/>
            <w:gridSpan w:val="3"/>
            <w:tcBorders>
              <w:top w:val="none" w:sz="5" w:space="0" w:color="auto"/>
              <w:left w:val="none" w:sz="5" w:space="0" w:color="auto"/>
            </w:tcBorders>
            <w:shd w:val="clear" w:color="auto" w:fill="auto"/>
            <w:textDirection w:val="lrTb"/>
            <w:vAlign w:val="center"/>
          </w:tcPr>
          <w:p>
            <w:pPr>
              <w:spacing w:after="0"/>
              <w:wordWrap w:val="0"/>
              <w:jc w:val="left"/>
            </w:pPr>
            <w:r>
              <w:rPr>
                <w:rFonts w:ascii="Times New Roman" w:hAnsi="Times New Roman"/>
                <w:b/>
                <w:sz w:val="24"/>
                <w:szCs w:val="24"/>
              </w:rPr>
              <w:t>Дисциплина: </w:t>
            </w:r>
          </w:p>
        </w:tc>
        <w:tc>
          <w:tcPr>
            <w:tcW w:w="9000" w:type="dxa"/>
            <w:gridSpan w:val="10"/>
            <w:tcBorders>
              <w:top w:val="none" w:sz="5" w:space="0" w:color="auto"/>
            </w:tcBorders>
            <w:shd w:val="clear" w:color="auto" w:fill="auto"/>
            <w:textDirection w:val="lrTb"/>
            <w:vAlign w:val="center"/>
          </w:tcPr>
          <w:p>
            <w:pPr>
              <w:spacing w:after="0"/>
              <w:wordWrap w:val="0"/>
              <w:jc w:val="left"/>
            </w:pPr>
            <w:r>
              <w:rPr>
                <w:rFonts w:ascii="Times New Roman" w:hAnsi="Times New Roman"/>
                <w:sz w:val="24"/>
                <w:szCs w:val="24"/>
              </w:rPr>
              <w:t>Пропедевтика внутренних болезней</w:t>
            </w:r>
          </w:p>
        </w:tc>
      </w:tr>
    </w:tbl>
    <w:tbl>
      <w:tblPr>
        <w:tblStyle w:val="TableStyle4"/>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5"/>
        <w:tblW w:w="5000" w:type="pct"/>
        <w:tblLayout w:type="fixed"/>
        <w:tblCellMar>
          <w:left w:w="0" w:type="dxa"/>
          <w:right w:w="0" w:type="dxa"/>
        </w:tblCellMar>
        <w:tblLook w:val="04A0"/>
      </w:tblPr>
      <w:tblGrid>
        <w:gridCol w:w="810"/>
        <w:gridCol w:w="405"/>
        <w:gridCol w:w="210"/>
        <w:gridCol w:w="210"/>
        <w:gridCol w:w="210"/>
        <w:gridCol w:w="210"/>
        <w:gridCol w:w="795"/>
        <w:gridCol w:w="825"/>
        <w:gridCol w:w="360"/>
        <w:gridCol w:w="345"/>
        <w:gridCol w:w="720"/>
        <w:gridCol w:w="525"/>
        <w:gridCol w:w="1500"/>
        <w:gridCol w:w="1905"/>
        <w:gridCol w:w="1215"/>
        <w:gridCol w:w="615"/>
        <w:gridCol w:w="15"/>
      </w:tblGrid>
      <w:tr>
        <w:trPr>
          <w:cantSplit/>
          <w:trHeight w:val="0" w:hRule="auto"/>
        </w:trPr>
        <w:tc>
          <w:tcPr>
            <w:tcW w:w="5625" w:type="dxa"/>
            <w:gridSpan w:val="12"/>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Код и специальность (направление подготовки):</w:t>
            </w:r>
          </w:p>
        </w:tc>
        <w:tc>
          <w:tcPr>
            <w:tcW w:w="5235" w:type="dxa"/>
            <w:gridSpan w:val="4"/>
            <w:shd w:val="clear" w:color="auto" w:fill="auto"/>
            <w:textDirection w:val="lrTb"/>
            <w:vAlign w:val="center"/>
          </w:tcPr>
          <w:p>
            <w:pPr>
              <w:spacing w:after="0"/>
              <w:wordWrap w:val="1"/>
              <w:jc w:val="left"/>
            </w:pPr>
            <w:r>
              <w:rPr>
                <w:rFonts w:ascii="Times New Roman" w:hAnsi="Times New Roman"/>
                <w:sz w:val="24"/>
                <w:szCs w:val="24"/>
              </w:rPr>
              <w:t>31.05.02 Педиатрия</w:t>
            </w:r>
          </w:p>
        </w:tc>
        <w:tc>
          <w:tcPr>
            <w:tcW w:w="15" w:type="dxa"/>
            <w:shd w:val="clear" w:color="auto" w:fill="auto"/>
            <w:textDirection w:val="lrTb"/>
            <w:vAlign w:val="center"/>
          </w:tcPr>
          <w:p>
            <w:pPr>
              <w:spacing w:after="0"/>
              <w:jc w:val="left"/>
            </w:pPr>
          </w:p>
        </w:tc>
      </w:tr>
    </w:tbl>
    <w:tbl>
      <w:tblPr>
        <w:tblStyle w:val="TableStyle6"/>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7"/>
        <w:tblW w:w="5000" w:type="pct"/>
        <w:tblLayout w:type="fixed"/>
        <w:tblCellMar>
          <w:left w:w="0" w:type="dxa"/>
          <w:right w:w="0" w:type="dxa"/>
        </w:tblCellMar>
        <w:tblLook w:val="04A0"/>
      </w:tblPr>
      <w:tblGrid>
        <w:gridCol w:w="810"/>
        <w:gridCol w:w="405"/>
        <w:gridCol w:w="420"/>
        <w:gridCol w:w="240"/>
        <w:gridCol w:w="15"/>
        <w:gridCol w:w="405"/>
        <w:gridCol w:w="825"/>
        <w:gridCol w:w="1425"/>
        <w:gridCol w:w="705"/>
        <w:gridCol w:w="720"/>
        <w:gridCol w:w="1515"/>
        <w:gridCol w:w="1905"/>
        <w:gridCol w:w="1485"/>
      </w:tblGrid>
      <w:tr>
        <w:trPr>
          <w:cantSplit/>
          <w:trHeight w:val="0" w:hRule="auto"/>
        </w:trPr>
        <w:tc>
          <w:tcPr>
            <w:tcW w:w="2295" w:type="dxa"/>
            <w:gridSpan w:val="6"/>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Квалификация:</w:t>
            </w:r>
          </w:p>
        </w:tc>
        <w:tc>
          <w:tcPr>
            <w:tcW w:w="8580" w:type="dxa"/>
            <w:gridSpan w:val="7"/>
            <w:shd w:val="clear" w:color="auto" w:fill="auto"/>
            <w:textDirection w:val="lrTb"/>
            <w:vAlign w:val="bottom"/>
          </w:tcPr>
          <w:p>
            <w:pPr>
              <w:spacing w:after="0"/>
              <w:jc w:val="left"/>
            </w:pPr>
            <w:r>
              <w:rPr>
                <w:rFonts w:ascii="Times New Roman" w:hAnsi="Times New Roman"/>
                <w:sz w:val="24"/>
                <w:szCs w:val="24"/>
              </w:rPr>
              <w:t>врач-педиатр</w:t>
            </w:r>
          </w:p>
        </w:tc>
      </w:tr>
    </w:tbl>
    <w:tbl>
      <w:tblPr>
        <w:tblStyle w:val="TableStyle8"/>
        <w:tblW w:w="6135" w:type="dxa"/>
        <w:tblLayout w:type="fixed"/>
        <w:tblCellMar>
          <w:left w:w="0" w:type="dxa"/>
          <w:right w:w="0" w:type="dxa"/>
        </w:tblCellMar>
        <w:tblLook w:val="04A0"/>
      </w:tblPr>
      <w:tblGrid>
        <w:gridCol w:w="810"/>
        <w:gridCol w:w="405"/>
        <w:gridCol w:w="210"/>
        <w:gridCol w:w="210"/>
        <w:gridCol w:w="210"/>
        <w:gridCol w:w="210"/>
        <w:gridCol w:w="405"/>
        <w:gridCol w:w="825"/>
        <w:gridCol w:w="345"/>
        <w:gridCol w:w="360"/>
        <w:gridCol w:w="705"/>
        <w:gridCol w:w="720"/>
        <w:gridCol w:w="720"/>
      </w:tblGrid>
      <w:tr>
        <w:trPr>
          <w:cantSplit/>
          <w:trHeight w:val="0" w:hRule="auto"/>
        </w:trPr>
        <w:tc>
          <w:tcPr>
            <w:tcW w:w="1635" w:type="dxa"/>
            <w:gridSpan w:val="4"/>
            <w:tcBorders>
              <w:top w:val="none" w:sz="5" w:space="0" w:color="auto"/>
              <w:left w:val="none" w:sz="5" w:space="0" w:color="auto"/>
            </w:tcBorders>
            <w:shd w:val="clear" w:color="auto" w:fill="auto"/>
            <w:textDirection w:val="lrTb"/>
            <w:vAlign w:val="center"/>
          </w:tcPr>
          <w:p>
            <w:pPr>
              <w:spacing w:after="0"/>
              <w:wordWrap w:val="1"/>
              <w:jc w:val="left"/>
            </w:pPr>
          </w:p>
        </w:tc>
        <w:tc>
          <w:tcPr>
            <w:tcW w:w="1650" w:type="dxa"/>
            <w:gridSpan w:val="4"/>
            <w:shd w:val="clear" w:color="auto" w:fill="auto"/>
            <w:textDirection w:val="lrTb"/>
            <w:vAlign w:val="bottom"/>
          </w:tcPr>
          <w:p>
            <w:pPr>
              <w:spacing w:after="0"/>
              <w:jc w:val="left"/>
            </w:pPr>
          </w:p>
        </w:tc>
        <w:tc>
          <w:tcPr>
            <w:tcW w:w="2850" w:type="dxa"/>
            <w:gridSpan w:val="5"/>
            <w:shd w:val="clear" w:color="auto" w:fill="auto"/>
            <w:textDirection w:val="lrTb"/>
            <w:vAlign w:val="bottom"/>
          </w:tcPr>
          <w:p>
            <w:pPr>
              <w:spacing w:after="0"/>
              <w:jc w:val="left"/>
            </w:pPr>
          </w:p>
        </w:tc>
      </w:tr>
    </w:tbl>
    <w:tbl>
      <w:tblPr>
        <w:tblStyle w:val="TableStyle9"/>
        <w:tblW w:w="5000" w:type="pct"/>
        <w:tblLayout w:type="fixed"/>
        <w:tblCellMar>
          <w:left w:w="0" w:type="dxa"/>
          <w:right w:w="0" w:type="dxa"/>
        </w:tblCellMar>
        <w:tblLook w:val="04A0"/>
      </w:tblPr>
      <w:tblGrid>
        <w:gridCol w:w="810"/>
        <w:gridCol w:w="300"/>
        <w:gridCol w:w="420"/>
        <w:gridCol w:w="195"/>
        <w:gridCol w:w="210"/>
        <w:gridCol w:w="405"/>
        <w:gridCol w:w="825"/>
        <w:gridCol w:w="1410"/>
        <w:gridCol w:w="720"/>
        <w:gridCol w:w="720"/>
        <w:gridCol w:w="1500"/>
        <w:gridCol w:w="1905"/>
        <w:gridCol w:w="1455"/>
      </w:tblGrid>
      <w:tr>
        <w:trPr>
          <w:cantSplit/>
          <w:trHeight w:val="0" w:hRule="auto"/>
        </w:trPr>
        <w:tc>
          <w:tcPr>
            <w:tcW w:w="1725" w:type="dxa"/>
            <w:gridSpan w:val="4"/>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Уровень </w:t>
            </w:r>
          </w:p>
        </w:tc>
        <w:tc>
          <w:tcPr>
            <w:tcW w:w="9150" w:type="dxa"/>
            <w:gridSpan w:val="9"/>
            <w:shd w:val="clear" w:color="auto" w:fill="auto"/>
            <w:textDirection w:val="lrTb"/>
            <w:vAlign w:val="bottom"/>
          </w:tcPr>
          <w:p>
            <w:pPr>
              <w:spacing w:after="0"/>
              <w:jc w:val="left"/>
            </w:pPr>
            <w:r>
              <w:rPr>
                <w:rFonts w:ascii="Times New Roman" w:hAnsi="Times New Roman"/>
                <w:sz w:val="24"/>
                <w:szCs w:val="24"/>
              </w:rPr>
              <w:t>специалист</w:t>
            </w:r>
          </w:p>
        </w:tc>
      </w:tr>
    </w:tbl>
    <w:tbl>
      <w:tblPr>
        <w:tblStyle w:val="TableStyle10"/>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1680" w:type="dxa"/>
            <w:gridSpan w:val="3"/>
            <w:tcBorders>
              <w:top w:val="none" w:sz="5" w:space="0" w:color="auto"/>
              <w:left w:val="none" w:sz="5" w:space="0" w:color="auto"/>
            </w:tcBorders>
            <w:shd w:val="clear" w:color="auto" w:fill="auto"/>
            <w:textDirection w:val="lrTb"/>
            <w:vAlign w:val="center"/>
          </w:tcPr>
          <w:p>
            <w:pPr>
              <w:spacing w:after="0"/>
              <w:wordWrap w:val="1"/>
              <w:jc w:val="left"/>
            </w:pPr>
          </w:p>
        </w:tc>
        <w:tc>
          <w:tcPr>
            <w:tcW w:w="1635" w:type="dxa"/>
            <w:gridSpan w:val="8"/>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11"/>
        <w:tblW w:w="5000" w:type="pct"/>
        <w:tblLayout w:type="fixed"/>
        <w:tblCellMar>
          <w:left w:w="0" w:type="dxa"/>
          <w:right w:w="0" w:type="dxa"/>
        </w:tblCellMar>
        <w:tblLook w:val="04A0"/>
      </w:tblPr>
      <w:tblGrid>
        <w:gridCol w:w="810"/>
        <w:gridCol w:w="405"/>
        <w:gridCol w:w="420"/>
        <w:gridCol w:w="255"/>
        <w:gridCol w:w="105"/>
        <w:gridCol w:w="15"/>
        <w:gridCol w:w="825"/>
        <w:gridCol w:w="1425"/>
        <w:gridCol w:w="705"/>
        <w:gridCol w:w="720"/>
        <w:gridCol w:w="1515"/>
        <w:gridCol w:w="1890"/>
        <w:gridCol w:w="1785"/>
      </w:tblGrid>
      <w:tr>
        <w:trPr>
          <w:cantSplit/>
          <w:trHeight w:val="0" w:hRule="auto"/>
        </w:trPr>
        <w:tc>
          <w:tcPr>
            <w:tcW w:w="2010" w:type="dxa"/>
            <w:gridSpan w:val="6"/>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Форма обучения:</w:t>
            </w:r>
          </w:p>
        </w:tc>
        <w:tc>
          <w:tcPr>
            <w:tcW w:w="8865" w:type="dxa"/>
            <w:gridSpan w:val="7"/>
            <w:tcBorders>
              <w:top w:val="none" w:sz="5" w:space="0" w:color="auto"/>
            </w:tcBorders>
            <w:shd w:val="clear" w:color="auto" w:fill="auto"/>
            <w:textDirection w:val="lrTb"/>
            <w:vAlign w:val="center"/>
          </w:tcPr>
          <w:p>
            <w:pPr>
              <w:spacing w:after="0"/>
              <w:wordWrap w:val="1"/>
              <w:jc w:val="left"/>
            </w:pPr>
            <w:r>
              <w:rPr>
                <w:rFonts w:ascii="Times New Roman" w:hAnsi="Times New Roman"/>
                <w:sz w:val="24"/>
                <w:szCs w:val="24"/>
              </w:rPr>
              <w:t>очная</w:t>
            </w:r>
          </w:p>
        </w:tc>
      </w:tr>
    </w:tbl>
    <w:tbl>
      <w:tblPr>
        <w:tblStyle w:val="TableStyle12"/>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2085" w:type="dxa"/>
            <w:gridSpan w:val="6"/>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Факультет:</w:t>
            </w:r>
          </w:p>
        </w:tc>
        <w:tc>
          <w:tcPr>
            <w:tcW w:w="8790" w:type="dxa"/>
            <w:gridSpan w:val="46"/>
            <w:shd w:val="clear" w:color="auto" w:fill="auto"/>
            <w:textDirection w:val="lrTb"/>
            <w:vAlign w:val="bottom"/>
          </w:tcPr>
          <w:p>
            <w:pPr>
              <w:spacing w:after="0"/>
              <w:jc w:val="left"/>
            </w:pPr>
            <w:r>
              <w:rPr>
                <w:rFonts w:ascii="Times New Roman" w:hAnsi="Times New Roman"/>
                <w:sz w:val="24"/>
                <w:szCs w:val="24"/>
              </w:rPr>
              <w:t>педиатрический</w:t>
            </w: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Кафедра пропедевтики внутренних болезней имени профессора С.С. Зимницкого</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Очное отделение</w:t>
            </w:r>
          </w:p>
        </w:tc>
        <w:tc>
          <w:tcPr>
            <w:tcW w:w="2715" w:type="dxa"/>
            <w:gridSpan w:val="13"/>
            <w:shd w:val="clear" w:color="auto" w:fill="auto"/>
            <w:textDirection w:val="lrTb"/>
            <w:vAlign w:val="bottom"/>
          </w:tcPr>
          <w:p>
            <w:pPr>
              <w:spacing w:after="0"/>
              <w:jc w:val="left"/>
            </w:pPr>
          </w:p>
        </w:tc>
        <w:tc>
          <w:tcPr>
            <w:tcW w:w="2430" w:type="dxa"/>
            <w:gridSpan w:val="17"/>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810" w:type="dxa"/>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Курс:</w:t>
            </w:r>
          </w:p>
        </w:tc>
        <w:tc>
          <w:tcPr>
            <w:tcW w:w="10065" w:type="dxa"/>
            <w:gridSpan w:val="51"/>
            <w:tcBorders>
              <w:top w:val="none" w:sz="5" w:space="0" w:color="auto"/>
            </w:tcBorders>
            <w:shd w:val="clear" w:color="auto" w:fill="auto"/>
            <w:textDirection w:val="lrTb"/>
            <w:vAlign w:val="center"/>
          </w:tcPr>
          <w:p>
            <w:pPr>
              <w:spacing w:after="0"/>
              <w:wordWrap w:val="1"/>
              <w:jc w:val="left"/>
            </w:pPr>
            <w:r>
              <w:rPr>
                <w:rFonts w:ascii="Times New Roman" w:hAnsi="Times New Roman"/>
                <w:sz w:val="24"/>
                <w:szCs w:val="24"/>
              </w:rPr>
              <w:t>2, 3</w:t>
            </w: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sz w:val="24"/>
                <w:szCs w:val="24"/>
              </w:rPr>
              <w:t>Четвертый семестр, Пятый семестр</w:t>
            </w: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Клинические</w:t>
            </w:r>
          </w:p>
        </w:tc>
        <w:tc>
          <w:tcPr>
            <w:tcW w:w="3840" w:type="dxa"/>
            <w:gridSpan w:val="22"/>
            <w:shd w:val="clear" w:color="auto" w:fill="auto"/>
            <w:textDirection w:val="lrTb"/>
            <w:vAlign w:val="bottom"/>
          </w:tcPr>
          <w:p>
            <w:pPr>
              <w:spacing w:after="0"/>
              <w:jc w:val="left"/>
            </w:pPr>
            <w:r>
              <w:rPr>
                <w:rFonts w:ascii="Times New Roman" w:hAnsi="Times New Roman"/>
                <w:sz w:val="24"/>
                <w:szCs w:val="24"/>
              </w:rPr>
              <w:t>60 час.</w:t>
            </w: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Лекции</w:t>
            </w:r>
          </w:p>
        </w:tc>
        <w:tc>
          <w:tcPr>
            <w:tcW w:w="3840" w:type="dxa"/>
            <w:gridSpan w:val="22"/>
            <w:shd w:val="clear" w:color="auto" w:fill="auto"/>
            <w:textDirection w:val="lrTb"/>
            <w:vAlign w:val="bottom"/>
          </w:tcPr>
          <w:p>
            <w:pPr>
              <w:spacing w:after="0"/>
              <w:jc w:val="left"/>
            </w:pPr>
            <w:r>
              <w:rPr>
                <w:rFonts w:ascii="Times New Roman" w:hAnsi="Times New Roman"/>
                <w:sz w:val="24"/>
                <w:szCs w:val="24"/>
              </w:rPr>
              <w:t>24 час.</w:t>
            </w: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СРС</w:t>
            </w:r>
          </w:p>
        </w:tc>
        <w:tc>
          <w:tcPr>
            <w:tcW w:w="3840" w:type="dxa"/>
            <w:gridSpan w:val="22"/>
            <w:shd w:val="clear" w:color="auto" w:fill="auto"/>
            <w:textDirection w:val="lrTb"/>
            <w:vAlign w:val="bottom"/>
          </w:tcPr>
          <w:p>
            <w:pPr>
              <w:spacing w:after="0"/>
              <w:jc w:val="left"/>
            </w:pPr>
            <w:r>
              <w:rPr>
                <w:rFonts w:ascii="Times New Roman" w:hAnsi="Times New Roman"/>
                <w:sz w:val="24"/>
                <w:szCs w:val="24"/>
              </w:rPr>
              <w:t>42 час.</w:t>
            </w: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Экзамен</w:t>
            </w:r>
          </w:p>
        </w:tc>
        <w:tc>
          <w:tcPr>
            <w:tcW w:w="3840" w:type="dxa"/>
            <w:gridSpan w:val="22"/>
            <w:shd w:val="clear" w:color="auto" w:fill="auto"/>
            <w:textDirection w:val="lrTb"/>
            <w:vAlign w:val="bottom"/>
          </w:tcPr>
          <w:p>
            <w:pPr>
              <w:spacing w:after="0"/>
              <w:jc w:val="left"/>
            </w:pPr>
            <w:r>
              <w:rPr>
                <w:rFonts w:ascii="Times New Roman" w:hAnsi="Times New Roman"/>
                <w:sz w:val="24"/>
                <w:szCs w:val="24"/>
              </w:rPr>
              <w:t>18 час.</w:t>
            </w: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810" w:type="dxa"/>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Всего </w:t>
            </w:r>
          </w:p>
        </w:tc>
        <w:tc>
          <w:tcPr>
            <w:tcW w:w="10065" w:type="dxa"/>
            <w:gridSpan w:val="51"/>
            <w:tcBorders>
              <w:top w:val="none" w:sz="5" w:space="0" w:color="auto"/>
            </w:tcBorders>
            <w:shd w:val="clear" w:color="auto" w:fill="auto"/>
            <w:textDirection w:val="lrTb"/>
            <w:vAlign w:val="center"/>
          </w:tcPr>
          <w:p>
            <w:pPr>
              <w:spacing w:after="0"/>
              <w:wordWrap w:val="1"/>
              <w:jc w:val="left"/>
            </w:pPr>
            <w:r>
              <w:rPr>
                <w:rFonts w:ascii="Times New Roman" w:hAnsi="Times New Roman"/>
                <w:sz w:val="24"/>
                <w:szCs w:val="24"/>
              </w:rPr>
              <w:t>144 час.</w:t>
            </w: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1440" w:type="dxa"/>
            <w:gridSpan w:val="8"/>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80" w:type="dxa"/>
            <w:shd w:val="clear" w:color="auto" w:fill="auto"/>
            <w:textDirection w:val="lrTb"/>
            <w:vAlign w:val="bottom"/>
          </w:tcPr>
          <w:p>
            <w:pPr>
              <w:spacing w:after="0"/>
              <w:jc w:val="left"/>
            </w:pPr>
          </w:p>
        </w:tc>
        <w:tc>
          <w:tcPr>
            <w:tcW w:w="840"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675" w:type="dxa"/>
            <w:gridSpan w:val="14"/>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Зачетных единиц трудоемкости </w:t>
            </w:r>
          </w:p>
        </w:tc>
        <w:tc>
          <w:tcPr>
            <w:tcW w:w="7200" w:type="dxa"/>
            <w:gridSpan w:val="38"/>
            <w:shd w:val="clear" w:color="auto" w:fill="auto"/>
            <w:textDirection w:val="lrTb"/>
            <w:vAlign w:val="bottom"/>
          </w:tcPr>
          <w:p>
            <w:pPr>
              <w:spacing w:after="0"/>
              <w:jc w:val="left"/>
            </w:pPr>
            <w:r>
              <w:rPr>
                <w:rFonts w:ascii="Times New Roman" w:hAnsi="Times New Roman"/>
                <w:sz w:val="24"/>
                <w:szCs w:val="24"/>
              </w:rPr>
              <w:t>(ЗЕТ) 4</w:t>
            </w:r>
          </w:p>
        </w:tc>
      </w:tr>
      <w:p>
        <w:r>
          <w:br w:type="page"/>
        </w:r>
      </w:p>
      <w:tr>
        <w:trPr>
          <w:cantSplit/>
          <w:trHeight w:val="1110" w:hRule="atLeast"/>
        </w:trPr>
        <w:tc>
          <w:tcPr>
            <w:tcW w:w="10875" w:type="dxa"/>
            <w:gridSpan w:val="52"/>
            <w:tcBorders>
              <w:top w:val="none" w:sz="5" w:space="0" w:color="auto"/>
              <w:left w:val="none" w:sz="5" w:space="0" w:color="auto"/>
            </w:tcBorders>
            <w:shd w:val="clear" w:color="auto" w:fill="auto"/>
            <w:textDirection w:val="lrTb"/>
            <w:vAlign w:val="center"/>
          </w:tcPr>
          <w:p>
            <w:pPr>
              <w:spacing w:after="0"/>
              <w:wordWrap w:val="1"/>
              <w:jc w:val="both"/>
            </w:pPr>
            <w:r>
              <w:rPr>
                <w:rFonts w:ascii="Times New Roman" w:hAnsi="Times New Roman"/>
                <w:sz w:val="24"/>
                <w:szCs w:val="24"/>
              </w:rPr>
              <w:t xml:space="preserve">     Рабочая программа учебной дисциплины составлена с учетом требований Федерального государственного образовательного стандарта высшего образования - специалист по специальности (направлению подготовки): 31.05.02 Педиатрия.    </w:t>
            </w: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p>
        </w:tc>
        <w:tc>
          <w:tcPr>
            <w:tcW w:w="1440" w:type="dxa"/>
            <w:gridSpan w:val="8"/>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80" w:type="dxa"/>
            <w:shd w:val="clear" w:color="auto" w:fill="auto"/>
            <w:textDirection w:val="lrTb"/>
            <w:vAlign w:val="bottom"/>
          </w:tcPr>
          <w:p>
            <w:pPr>
              <w:spacing w:after="0"/>
              <w:jc w:val="left"/>
            </w:pPr>
          </w:p>
        </w:tc>
        <w:tc>
          <w:tcPr>
            <w:tcW w:w="840"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tcBorders>
              <w:top w:val="none" w:sz="5" w:space="0" w:color="auto"/>
              <w:left w:val="none" w:sz="5" w:space="0" w:color="auto"/>
            </w:tcBorders>
            <w:shd w:val="clear" w:color="auto" w:fill="auto"/>
            <w:textDirection w:val="lrTb"/>
            <w:vAlign w:val="center"/>
          </w:tcPr>
          <w:p>
            <w:pPr>
              <w:spacing w:after="0"/>
              <w:wordWrap w:val="1"/>
              <w:jc w:val="left"/>
            </w:pPr>
            <w:r>
              <w:rPr>
                <w:rFonts w:ascii="Times New Roman" w:hAnsi="Times New Roman"/>
                <w:b/>
                <w:sz w:val="24"/>
                <w:szCs w:val="24"/>
              </w:rPr>
              <w:t>Разработчики программы:</w:t>
            </w:r>
          </w:p>
        </w:tc>
        <w:tc>
          <w:tcPr>
            <w:tcW w:w="720" w:type="dxa"/>
            <w:gridSpan w:val="4"/>
            <w:shd w:val="clear" w:color="auto" w:fill="auto"/>
            <w:textDirection w:val="lrTb"/>
            <w:vAlign w:val="bottom"/>
          </w:tcPr>
          <w:p>
            <w:pPr>
              <w:spacing w:after="0"/>
              <w:jc w:val="left"/>
            </w:pPr>
          </w:p>
        </w:tc>
        <w:tc>
          <w:tcPr>
            <w:tcW w:w="345" w:type="dxa"/>
            <w:shd w:val="clear" w:color="auto" w:fill="auto"/>
            <w:textDirection w:val="lrTb"/>
            <w:vAlign w:val="bottom"/>
          </w:tcPr>
          <w:p>
            <w:pPr>
              <w:spacing w:after="0"/>
              <w:jc w:val="left"/>
            </w:pPr>
          </w:p>
        </w:tc>
        <w:tc>
          <w:tcPr>
            <w:tcW w:w="195"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75"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80" w:type="dxa"/>
            <w:shd w:val="clear" w:color="auto" w:fill="auto"/>
            <w:textDirection w:val="lrTb"/>
            <w:vAlign w:val="bottom"/>
          </w:tcPr>
          <w:p>
            <w:pPr>
              <w:spacing w:after="0"/>
              <w:jc w:val="left"/>
            </w:pPr>
          </w:p>
        </w:tc>
        <w:tc>
          <w:tcPr>
            <w:tcW w:w="840"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tcBorders>
              <w:top w:val="none" w:sz="5" w:space="0" w:color="auto"/>
              <w:left w:val="none" w:sz="5" w:space="0" w:color="auto"/>
            </w:tcBorders>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Доцент, выполняющий лечебную работу и имеющий ученую степень кандидата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М. А. Макаров</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center"/>
          </w:tcPr>
          <w:p>
            <w:pPr>
              <w:spacing w:after="0"/>
              <w:wordWrap w:val="1"/>
              <w:jc w:val="both"/>
            </w:pPr>
            <w:r>
              <w:rPr>
                <w:rFonts w:ascii="Times New Roman" w:hAnsi="Times New Roman"/>
                <w:sz w:val="24"/>
                <w:szCs w:val="24"/>
              </w:rPr>
              <w:t>Рабочая программа рассмотрена и одобрена на заседании кафедры.</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Заведующий кафедрой, доктор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Н. Р. Хасанов</w:t>
            </w: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center"/>
          </w:tcPr>
          <w:p>
            <w:pPr>
              <w:spacing w:after="0"/>
              <w:wordWrap w:val="1"/>
              <w:jc w:val="both"/>
            </w:pPr>
            <w:r>
              <w:rPr>
                <w:rFonts w:ascii="Times New Roman" w:hAnsi="Times New Roman"/>
                <w:sz w:val="24"/>
                <w:szCs w:val="24"/>
              </w:rPr>
              <w:t>Рабочая программа рассмотрена и согласована  на заседании предметно-методической комиссии.</w:t>
            </w: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6030" w:type="dxa"/>
            <w:gridSpan w:val="24"/>
            <w:shd w:val="clear" w:color="auto" w:fill="auto"/>
            <w:textDirection w:val="lrTb"/>
            <w:vAlign w:val="center"/>
          </w:tcPr>
          <w:p>
            <w:pPr>
              <w:spacing w:after="0"/>
              <w:wordWrap w:val="1"/>
              <w:jc w:val="left"/>
            </w:pPr>
            <w:r>
              <w:rPr>
                <w:rFonts w:ascii="Times New Roman" w:hAnsi="Times New Roman"/>
                <w:sz w:val="24"/>
                <w:szCs w:val="24"/>
              </w:rPr>
              <w:t>Председатель предметно-методической комиссии</w:t>
            </w:r>
          </w:p>
        </w:tc>
        <w:tc>
          <w:tcPr>
            <w:tcW w:w="1125" w:type="dxa"/>
            <w:gridSpan w:val="9"/>
            <w:shd w:val="clear" w:color="auto" w:fill="auto"/>
            <w:textDirection w:val="lrTb"/>
            <w:vAlign w:val="center"/>
          </w:tcPr>
          <w:p>
            <w:pPr>
              <w:spacing w:after="0"/>
              <w:wordWrap w:val="1"/>
              <w:jc w:val="center"/>
            </w:pPr>
          </w:p>
        </w:tc>
        <w:tc>
          <w:tcPr>
            <w:tcW w:w="3720" w:type="dxa"/>
            <w:gridSpan w:val="19"/>
            <w:shd w:val="clear" w:color="auto" w:fill="auto"/>
            <w:textDirection w:val="lrTb"/>
            <w:vAlign w:val="bottom"/>
          </w:tcPr>
          <w:p>
            <w:pPr>
              <w:spacing w:after="0"/>
              <w:jc w:val="right"/>
            </w:pPr>
            <w:r>
              <w:rPr>
                <w:rFonts w:ascii="Times New Roman" w:hAnsi="Times New Roman"/>
                <w:sz w:val="24"/>
                <w:szCs w:val="24"/>
              </w:rPr>
              <w:t>Р. А. Файзуллина</w:t>
            </w: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6030" w:type="dxa"/>
            <w:gridSpan w:val="24"/>
            <w:shd w:val="clear" w:color="auto" w:fill="auto"/>
            <w:textDirection w:val="lrTb"/>
            <w:vAlign w:val="center"/>
          </w:tcPr>
          <w:p>
            <w:pPr>
              <w:spacing w:after="0"/>
              <w:wordWrap w:val="1"/>
              <w:jc w:val="left"/>
            </w:pPr>
            <w:r>
              <w:rPr>
                <w:rFonts w:ascii="Times New Roman" w:hAnsi="Times New Roman"/>
                <w:b/>
                <w:sz w:val="24"/>
                <w:szCs w:val="24"/>
              </w:rPr>
              <w:t>Преподаватели, ведущие дисциплину:</w:t>
            </w: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Профессор, выполняющий лечебную работу и имеющий ученую степень доктора наук и ученое звание "профес , доктор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О. В. Булашова</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Ассистент, имеющий ученую степень кандидата наук, выполняющий лечебную работу , кандидат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В. М. Газизянова</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Доцент, выполняющий лечебную работу и имеющий ученую степень кандидата наук и ученое звание "доцента , кандидат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И. М. Каримов</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Доцент, выполняющий лечебную работу и имеющий ученую степень кандидата наук , кандидат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М. А. Макаров</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Ассистент, имеющий ученую степень кандидата наук, выполняющий лечебную работу , кандидат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М. И. Малкова</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Доцент, выполняющий лечебную работу и имеющий ученую степень кандидата наук и ученое звание "доцента , кандидат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Е. В. Хазова</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Ассистент, имеющий ученую степень кандидата наук, выполняющий лечебную работу , кандидат медицинских наук</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А. Р. Шамкина</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center"/>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center"/>
          </w:tcPr>
          <w:p>
            <w:pPr>
              <w:spacing w:after="0"/>
              <w:wordWrap w:val="1"/>
              <w:jc w:val="left"/>
            </w:pPr>
            <w:r>
              <w:rPr>
                <w:rFonts w:ascii="Times New Roman" w:hAnsi="Times New Roman"/>
                <w:sz w:val="24"/>
                <w:szCs w:val="24"/>
              </w:rPr>
              <w:t>Ассистент, без предъявления требований к стажу, выполняющий лечебную работу </w:t>
            </w:r>
          </w:p>
        </w:tc>
        <w:tc>
          <w:tcPr>
            <w:tcW w:w="3720" w:type="dxa"/>
            <w:gridSpan w:val="19"/>
            <w:shd w:val="clear" w:color="auto" w:fill="auto"/>
            <w:textDirection w:val="lrTb"/>
            <w:vAlign w:val="bottom"/>
          </w:tcPr>
          <w:p>
            <w:pPr>
              <w:spacing w:after="0"/>
              <w:jc w:val="right"/>
            </w:pPr>
            <w:r>
              <w:rPr>
                <w:rFonts w:ascii="Times New Roman" w:hAnsi="Times New Roman"/>
                <w:sz w:val="24"/>
                <w:szCs w:val="24"/>
              </w:rPr>
              <w:t>Д. Р. Хастиева</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p>
        <w:r>
          <w:br w:type="page"/>
        </w:r>
      </w:p>
      <w:tr>
        <w:trPr>
          <w:cantSplit/>
          <w:trHeight w:val="0" w:hRule="auto"/>
        </w:trPr>
        <w:tc>
          <w:tcPr>
            <w:tcW w:w="10875" w:type="dxa"/>
            <w:gridSpan w:val="52"/>
            <w:shd w:val="clear" w:color="auto" w:fill="auto"/>
            <w:textDirection w:val="lrTb"/>
            <w:vAlign w:val="center"/>
          </w:tcPr>
          <w:p>
            <w:pPr>
              <w:spacing w:after="0"/>
              <w:wordWrap w:val="1"/>
              <w:jc w:val="left"/>
            </w:pPr>
            <w:r>
              <w:rPr>
                <w:rFonts w:ascii="Times New Roman" w:hAnsi="Times New Roman"/>
                <w:b/>
                <w:sz w:val="24"/>
                <w:szCs w:val="24"/>
              </w:rPr>
              <w:t>1. Перечень планируемых результатов обучения по дисциплине (модулю), соотнесенных с планируемыми результатами освоения образовательной программы</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center"/>
          </w:tcPr>
          <w:p>
            <w:pPr>
              <w:spacing w:after="0"/>
              <w:wordWrap w:val="1"/>
              <w:jc w:val="center"/>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center"/>
          </w:tcPr>
          <w:p>
            <w:pPr>
              <w:spacing w:after="0"/>
              <w:wordWrap w:val="1"/>
              <w:jc w:val="both"/>
            </w:pPr>
            <w:r>
              <w:rPr>
                <w:rFonts w:ascii="Times New Roman" w:hAnsi="Times New Roman"/>
                <w:sz w:val="24"/>
                <w:szCs w:val="24"/>
              </w:rPr>
              <w:t xml:space="preserve">     Цель освоения дисциплины: обучение студентов методам исследования и правилам диагностики заболеваний внутренних органов</w:t>
            </w:r>
          </w:p>
        </w:tc>
      </w:tr>
      <w:tr>
        <w:trPr>
          <w:cantSplit/>
          <w:trHeight w:val="0" w:hRule="auto"/>
        </w:trPr>
        <w:tc>
          <w:tcPr>
            <w:tcW w:w="10875" w:type="dxa"/>
            <w:gridSpan w:val="52"/>
            <w:shd w:val="clear" w:color="auto" w:fill="auto"/>
            <w:textDirection w:val="lrTb"/>
            <w:vAlign w:val="center"/>
          </w:tcPr>
          <w:p>
            <w:pPr>
              <w:spacing w:after="0"/>
              <w:wordWrap w:val="1"/>
              <w:jc w:val="both"/>
            </w:pPr>
          </w:p>
        </w:tc>
      </w:tr>
      <w:tr>
        <w:trPr>
          <w:cantSplit/>
          <w:trHeight w:val="0" w:hRule="auto"/>
        </w:trPr>
        <w:tc>
          <w:tcPr>
            <w:tcW w:w="10875" w:type="dxa"/>
            <w:gridSpan w:val="52"/>
            <w:shd w:val="clear" w:color="auto" w:fill="auto"/>
            <w:textDirection w:val="lrTb"/>
            <w:vAlign w:val="center"/>
          </w:tcPr>
          <w:p>
            <w:pPr>
              <w:spacing w:after="0"/>
              <w:wordWrap w:val="1"/>
              <w:jc w:val="both"/>
            </w:pPr>
            <w:r>
              <w:rPr>
                <w:rFonts w:ascii="Times New Roman" w:hAnsi="Times New Roman"/>
                <w:sz w:val="24"/>
                <w:szCs w:val="24"/>
              </w:rPr>
              <w:t xml:space="preserve">     Задачи освоения дисциплины: </w:t>
            </w:r>
          </w:p>
        </w:tc>
      </w:tr>
      <w:tr>
        <w:trPr>
          <w:cantSplit/>
          <w:trHeight w:val="0" w:hRule="auto"/>
        </w:trPr>
        <w:tc>
          <w:tcPr>
            <w:tcW w:w="10875" w:type="dxa"/>
            <w:gridSpan w:val="52"/>
            <w:shd w:val="clear" w:color="auto" w:fill="auto"/>
            <w:textDirection w:val="lrTb"/>
            <w:vAlign w:val="center"/>
          </w:tcPr>
          <w:p>
            <w:pPr>
              <w:spacing w:after="0"/>
              <w:wordWrap w:val="1"/>
              <w:jc w:val="both"/>
            </w:pPr>
            <w:r>
              <w:rPr>
                <w:rFonts w:ascii="Times New Roman" w:hAnsi="Times New Roman"/>
                <w:sz w:val="24"/>
                <w:szCs w:val="24"/>
              </w:rPr>
              <w:t>Формирование важных профессиональных навыков обследования больного, основ клинического мышления, а также обучение правилам соблюдения  медицинской этики и деонтологии.</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center"/>
          </w:tcPr>
          <w:p>
            <w:pPr>
              <w:spacing w:after="0"/>
              <w:wordWrap w:val="1"/>
              <w:jc w:val="center"/>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center"/>
          </w:tcPr>
          <w:p>
            <w:pPr>
              <w:spacing w:after="0"/>
              <w:wordWrap w:val="1"/>
              <w:jc w:val="center"/>
            </w:pPr>
          </w:p>
        </w:tc>
      </w:tr>
      <w:tr>
        <w:trPr>
          <w:cantSplit/>
          <w:trHeight w:val="0" w:hRule="auto"/>
        </w:trPr>
        <w:tc>
          <w:tcPr>
            <w:tcW w:w="10875" w:type="dxa"/>
            <w:gridSpan w:val="52"/>
            <w:shd w:val="clear" w:color="auto" w:fill="auto"/>
            <w:textDirection w:val="lrTb"/>
            <w:vAlign w:val="center"/>
          </w:tcPr>
          <w:p>
            <w:pPr>
              <w:spacing w:after="0"/>
              <w:wordWrap w:val="1"/>
              <w:jc w:val="both"/>
            </w:pPr>
            <w:r>
              <w:rPr>
                <w:rFonts w:ascii="Times New Roman" w:hAnsi="Times New Roman"/>
                <w:b/>
                <w:sz w:val="24"/>
                <w:szCs w:val="24"/>
              </w:rPr>
              <w:t xml:space="preserve">     Обучающийся должен освоить следующие компетенции, в том числе:</w:t>
            </w: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center"/>
          </w:tcPr>
          <w:p>
            <w:pPr>
              <w:spacing w:after="0"/>
              <w:wordWrap w:val="1"/>
              <w:jc w:val="center"/>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center"/>
          </w:tcPr>
          <w:p>
            <w:pPr>
              <w:spacing w:after="0"/>
              <w:wordWrap w:val="1"/>
              <w:jc w:val="center"/>
            </w:pPr>
          </w:p>
        </w:tc>
      </w:tr>
      <w:tr>
        <w:trPr>
          <w:cantSplit/>
          <w:trHeight w:val="0" w:hRule="auto"/>
        </w:trPr>
        <w:tc>
          <w:tcPr>
            <w:tcW w:w="3315" w:type="dxa"/>
            <w:gridSpan w:val="11"/>
            <w:shd w:val="clear" w:color="auto" w:fill="auto"/>
            <w:textDirection w:val="lrTb"/>
            <w:vAlign w:val="center"/>
          </w:tcPr>
          <w:p>
            <w:pPr>
              <w:spacing w:after="0"/>
              <w:wordWrap w:val="1"/>
              <w:jc w:val="center"/>
            </w:pPr>
          </w:p>
        </w:tc>
        <w:tc>
          <w:tcPr>
            <w:tcW w:w="2715" w:type="dxa"/>
            <w:gridSpan w:val="13"/>
            <w:shd w:val="clear" w:color="auto" w:fill="auto"/>
            <w:textDirection w:val="lrTb"/>
            <w:vAlign w:val="center"/>
          </w:tcPr>
          <w:p>
            <w:pPr>
              <w:spacing w:after="0"/>
              <w:wordWrap w:val="1"/>
              <w:jc w:val="center"/>
            </w:pPr>
          </w:p>
        </w:tc>
        <w:tc>
          <w:tcPr>
            <w:tcW w:w="1125" w:type="dxa"/>
            <w:gridSpan w:val="9"/>
            <w:shd w:val="clear" w:color="auto" w:fill="auto"/>
            <w:textDirection w:val="lrTb"/>
            <w:vAlign w:val="center"/>
          </w:tcPr>
          <w:p>
            <w:pPr>
              <w:spacing w:after="0"/>
              <w:wordWrap w:val="1"/>
              <w:jc w:val="center"/>
            </w:pPr>
          </w:p>
        </w:tc>
        <w:tc>
          <w:tcPr>
            <w:tcW w:w="1305" w:type="dxa"/>
            <w:gridSpan w:val="8"/>
            <w:shd w:val="clear" w:color="auto" w:fill="auto"/>
            <w:textDirection w:val="lrTb"/>
            <w:vAlign w:val="center"/>
          </w:tcPr>
          <w:p>
            <w:pPr>
              <w:spacing w:after="0"/>
              <w:wordWrap w:val="1"/>
              <w:jc w:val="center"/>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center"/>
          </w:tcPr>
          <w:p>
            <w:pPr>
              <w:spacing w:after="0"/>
              <w:wordWrap w:val="1"/>
              <w:jc w:val="center"/>
            </w:pPr>
          </w:p>
        </w:tc>
      </w:tr>
    </w:tbl>
    <w:tbl>
      <w:tblPr>
        <w:tblStyle w:val="TableStyle13"/>
        <w:tblW w:w="5000" w:type="pct"/>
        <w:tblLayout w:type="fixed"/>
        <w:tblCellMar>
          <w:left w:w="0" w:type="dxa"/>
          <w:right w:w="0" w:type="dxa"/>
        </w:tblCellMar>
        <w:tblLook w:val="04A0"/>
      </w:tblPr>
      <w:tblGrid>
        <w:gridCol w:w="1635"/>
        <w:gridCol w:w="855"/>
        <w:gridCol w:w="1425"/>
        <w:gridCol w:w="1185"/>
        <w:gridCol w:w="2520"/>
        <w:gridCol w:w="1905"/>
        <w:gridCol w:w="885"/>
        <w:gridCol w:w="465"/>
      </w:tblGrid>
      <w:tr>
        <w:trPr>
          <w:cantSplit/>
          <w:trHeight w:val="0" w:hRule="auto"/>
        </w:trPr>
        <w:tc>
          <w:tcPr>
            <w:tcW w:w="2490"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b/>
                <w:sz w:val="24"/>
                <w:szCs w:val="24"/>
              </w:rPr>
              <w:t>Наименование категории (группы) компетенций</w:t>
            </w:r>
          </w:p>
        </w:tc>
        <w:tc>
          <w:tcPr>
            <w:tcW w:w="2610"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b/>
                <w:sz w:val="24"/>
                <w:szCs w:val="24"/>
              </w:rPr>
              <w:t>Код и наименование компетенции</w:t>
            </w:r>
          </w:p>
        </w:tc>
        <w:tc>
          <w:tcPr>
            <w:tcW w:w="2520" w:type="dxa"/>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b/>
                <w:sz w:val="24"/>
                <w:szCs w:val="24"/>
              </w:rPr>
              <w:t>Код и наименование индикатора (индикаторов) достижения компетенции</w:t>
            </w:r>
          </w:p>
        </w:tc>
        <w:tc>
          <w:tcPr>
            <w:tcW w:w="3255" w:type="dxa"/>
            <w:gridSpan w:val="3"/>
            <w:tcBorders>
              <w:top w:val="single" w:sz="5" w:space="0" w:color="auto"/>
              <w:bottom w:val="single" w:sz="5" w:space="0" w:color="auto"/>
              <w:right w:val="single" w:sz="5" w:space="0" w:color="auto"/>
            </w:tcBorders>
            <w:shd w:val="clear" w:color="auto" w:fill="auto"/>
            <w:textDirection w:val="lrTb"/>
            <w:vAlign w:val="center"/>
          </w:tcPr>
          <w:p>
            <w:pPr>
              <w:spacing w:after="0"/>
              <w:wordWrap w:val="1"/>
              <w:jc w:val="center"/>
            </w:pPr>
            <w:r>
              <w:rPr>
                <w:rFonts w:ascii="Times New Roman" w:hAnsi="Times New Roman"/>
                <w:b/>
                <w:sz w:val="24"/>
                <w:szCs w:val="24"/>
              </w:rPr>
              <w:t>Результаты обучения</w:t>
            </w:r>
          </w:p>
        </w:tc>
      </w:tr>
      <w:tr>
        <w:trPr>
          <w:cantSplit/>
          <w:trHeight w:val="0" w:hRule="auto"/>
        </w:trPr>
        <w:tc>
          <w:tcPr>
            <w:tcW w:w="249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ОПК-1 ИОПК-1.1</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морально-этические нормы, правила и принципы профессионального врачебного поведения, права пациента и врача, основы законодательства РФ;-основные нормативно-технические документы по охране здоровья взрослого населения.- возможности Internet-ресурсов при решении учебных и профессиональных задач (официальные сайты Минздрава РФ и РТ, Гарант, электронный каталог научной библиотеки  Казанского ГМУ, электронно-библиотечная система Казанского ГМУ, «Консультант студента», «Консультант плюс» и д</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Соблюдает моральные и правовые основы в профессиональной деятельности</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осуществлять свою деятельность с учётом принятых в обществе моральных и правовых норм; в соответствии с основами законодательства РФ по охране здоровья населения;-применять для ускорения процесса передачи полученной информации дистанционные технологии.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Соблюдает моральные и правовые основы в профессиональной деятельности</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принципами врачебной деонтологии и медицинской этики;-основами законодательства РФ по охране здоровья населения;- навыками поиска необходимой информации посредством Internet-ресурсов, официальных сайтов;-навыками применения дистанционных технологий.</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ОПК-1 ИОПК-1.2</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этические и деонтологические принципы в профессиональной деятельности, правила и принципы профессионального врачебного поведения, права пациента и врача.- возможности Internet-ресурсов при решении учебных и профессиональных задач (официальные сайты Минздрава РФ и РТ, Гарант, электронный каталог научной библиотеки  Казанского ГМУ, электронно-библиотечная система Казанского ГМУ, «Консультант студента», «Консультант плюс» и др.).</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Соблюдает этические и деонтологические принципы в профессиональной деятельности</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соблюдать правила медицинской этики, правила и принципы профессионального врачебного поведения, права пациента и врача.-применять для ускорения процесса передачи полученной информации дистанционные технологии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Соблюдает этические и деонтологические принципы в профессиональной деятельности</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принципами врачебной деонтологии и медицинской этики в профессиональной деятельности;- навыками поиска необходимой информации посредством Internet-ресурсов, официальных сайтов;-Навыками применения дистанционных технологий</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ОПК-1 ИОПК-1.3</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особенности решения стандартных профессиональных задач на основе этических и деонтологических принципов в профессиональной деятельности, в общении с коллегами, другим медицинским персоналом, пациентами и их родственниками, а также с их законными представителями.- возможности Internet-ресурсов при решении учебных и профессиональных задач (официальные сайты Минздрава РФ и РТ, Гарант, электронный каталог научной библиотеки  Казанского ГМУ, электронно-библиотечная система Казанского ГМУ, «Ко</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Решает стандартные задачи в профессиональной деятельности на основе этических норм и деонтологических принципов при взаимодействии с коллегами и пациентами (их законными представителями)</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решать стандартные профессиональные задачи на основе этических и деонтологических принципов в профессиональной деятельности, в общении с коллегами, другим медицинским персоналом, пациентами и их родственниками, а также с их законными представителями.-применять для ускорения процесса передачи полученной информации дистанционные технологи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ОПК-1 Способен реализовывать моральные и правовые нормы, этические и деонтологические принципы в профессиональной деятельности</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Решает стандартные задачи в профессиональной деятельности на основе этических норм и деонтологических принципов при взаимодействии с коллегами и пациентами (их законными представителями)</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Владеть:навыками решения стандартных профессиональных задач на основе этических и деонтологических принципов в профессиональной деятельности, в общении с коллегами, другим медицинским персоналом, пациентами и их родственниками, а также с их законными представителями- навыками поиска необходимой информации посредством Internet-ресурсов, официальных сайтов;-Навыками применения дистанционных технологий</w:t>
            </w:r>
          </w:p>
        </w:tc>
      </w:tr>
      <w:tr>
        <w:trPr>
          <w:cantSplit/>
          <w:trHeight w:val="0" w:hRule="auto"/>
        </w:trPr>
        <w:tc>
          <w:tcPr>
            <w:tcW w:w="249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ОПК-4 ИОПК-4.1</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Знать:виды медицинских термометров, правила термометрии,устройство фонендоскопа,виды и принципы работы сфигмоманометров и осциллографических манометровметодику измерения артериального давления по методу Короткова,принцип устройства электрокардиографа, методы и средства лучевой диагностики, принцип и техническое обеспечение метода компьютерной рентгеновской томографии, магнитно-резонансной томографии, радионуклидной диагностики, информативные возможности метода и показания к е</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Использует алгоритм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регистрировать и интерпретировать результаты термометрии,проводить аускультацию,измерять артериальное давление,записать электрокардиограмму,интерпретировать результаты лучевого обследования детей и подростков;подготовить больного к рентгенологическому исследованию,правильно применять защиту в рентгеновских кабинетах.-применять в коммуникационном процессе для ускорения процесса передачи информации дистанционные технологии.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Использует алгоритм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определения вида лихорадки по характер колебаний температуры (по характеру температурной кривой),методом измерения артериального давления,навыками записи электрокардиограммы, навыками определения показаний и противопоказаний к проведению КРТ, радионуклидного исследования, МРТ, эндоскопическому исследованию.навыками поиска информации посредством</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ОПК-4 ИОПК-4.2</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методы диагностики, диагностические возможности методов непосредственного исследования пациента терапевтического профиля, современные методы клинического, лабораторного, инструментального обследования пациентов;диагностические возможности лучевых методов исследования пациента терапевтического профиля, современные методы клинического, лабораторного, инструментального обследования пациентов (включая эндоскопические, рентгенологические методы, ультразвуковую диагностику, РКТ и МРТ, методы</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Применяет методику сбора анамнеза жизни и заболеваний, жалоб у взрослых и детей; методику осмотра и физикального обследования; клиническую картину, методы диагностики наиболее распространенных заболеваний; 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 международную статистическую классификацию болезней и проблем, связанных со здоровьем (МКБ); состояния, требующие оказания м</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определить статус пациента: собрать анамнез, провести опрос пациента и/или его родственников, провести физикальное обследование пациента (осмотр, пальпация, аускультация, измерение артериального давления, определение свойств артериального пульса и т.д.); провести первичное обследование систем и органов;пальпировать основные костные ориентиры, обрисовать топографические  контуры органов;определять и оценивать результаты электрокардиографии;трактовать результаты общего анализа кров</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Применяет методику сбора анамнеза жизни и заболеваний, жалоб у взрослых и детей; методику осмотра и физикального обследования; клиническую картину, методы диагностики наиболее распространенных заболеваний; 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 международную статистическую классификацию болезней и проблем, связанных со здоровьем (МКБ); состояния, требующие оказания м</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общеклинического обследования;навыками интерпретации результатов лабораторных, инструментальных методов диагностики;навыками интерпретации результатов лучевых методов исследования пациентов;-навыками поиска информации посредством электронных ресурсов, официальных сайтов, навыками передачи информации с применением дистанционных технологий</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ОПК-4 ИОПК-4.3</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правила сбора жалоб, анамнеза жизни и заболевания у взрослых и детей, факторы риска и причины развития заболеваний; методы осмотра и физикального обследования; результаты осмотра и физикального обследования; диагностические критерии наиболее распространенных патологий; факторы риска онкологических заболеваний; правила формулировки предварительного диагноза, правила составления плана проведения лабораторных, инструментальных и дополнительных исследований в соответствии с порядками- возмож</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Осуществляет сбор жалоб, анамнеза жизни и заболевания у взрослых и детей, выявляет факторы риска и причины развития заболеваний; применяет методы осмотра и физикального обследования; интерпретирует результаты осмотра и физикального обследования; диагностирует наиболее распространенную патологию; выявляет факторы риска онкологических заболеваний; формулирует предварительный диагноз, составляет план проведения лабораторных, инструментальных и дополнительных исследований в соответствии с порядками</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Уметь: осуществлять сбор жалоб, анамнеза жизни и заболевания у взрослых и детей, выявлять факторы риска и причины развития заболеваний; применять методы осмотра и физикального обследования; интерпретировать результаты осмотра и физикального обследования; диагностировать наиболее распространенную патологию; выявлять факторы риска онкологических заболеваний; формулировать предварительный диагноз, составлять план проведения лабораторных, инструментальных и дополнительных исследований в соотв</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Осуществляет сбор жалоб, анамнеза жизни и заболевания у взрослых и детей, выявляет факторы риска и причины развития заболеваний; применяет методы осмотра и физикального обследования; интерпретирует результаты осмотра и физикального обследования; диагностирует наиболее распространенную патологию; выявляет факторы риска онкологических заболеваний; формулирует предварительный диагноз, составляет план проведения лабораторных, инструментальных и дополнительных исследований в соответствии с порядками</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сбора жалоб, анамнеза жизни и заболевания у взрослых и детей, выявления факторов риска и причины развития заболеваний; навыками применения методов осмотра и физикального обследования; навыками интерпретирования результатов осмотра и физикального обследования; навыками диагностирования наиболее распространенных патологий; навыками выявления факторов риска онкологических заболеваний; навыками формулировки предварительного диагноза, составления плана проведения лабораторных, инстр</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ОПК-4 ИОПК-4.4</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правила для направления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критерии интерпретации и анализа результатов консультаций врачами-специалистами и результатов основных (клинических) и дополнительных (лабораторных, инструментальных) методов обследования; критерии дифференциальной диагностики заболеваний;</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Направляет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интерпретирует и анализирует результаты консультаций врачами-специалистами; интерпретирует и анализирует результаты основных (клинических) и дополнительных (лабораторных, инструментальных) методов обследования; проводит дифференциальную диагностику заболеваний;</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направить в соответствии с показаниями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интерпретировать и анализировать результаты консультаций врачами-специалистами; интерпретировать и анализировать результаты основных (клинических) и дополнительных (лабораторных, инструментальных) методов обследования; проводи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ОПК-4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Направляет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интерпретирует и анализирует результаты консультаций врачами-специалистами; интерпретирует и анализирует результаты основных (клинических) и дополнительных (лабораторных, инструментальных) методов обследования; проводит дифференциальную диагностику заболеваний;</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Владеть: навыками направления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-навыками интерпретации и анализа результатов консультаций врачами-специалистами; интерпретации и анализа результатов основных (клинических) и дополнительных (лабораторных, инструментальных) методов обследования; навыками проведения</w:t>
            </w:r>
          </w:p>
        </w:tc>
      </w:tr>
      <w:tr>
        <w:trPr>
          <w:cantSplit/>
          <w:trHeight w:val="0" w:hRule="auto"/>
        </w:trPr>
        <w:tc>
          <w:tcPr>
            <w:tcW w:w="249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ОПК-5 ИОПК-5.1</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методы определения и оценки морфофункционального, физиологического состояния и патологических процессов организма человека;- возможности Internet-ресурсов при решении учебных и профессиональных задач (официальные сайты Минздрава РФ и РТ, электронный каталог научной библиотеки  Казанского ГМУ, электронно-библиотечная система Казанского ГМУ, «Консультант студента», «Консультант плюс» и др.).</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Определяет и оценивает морфофункциональные, физиологические состояния и патологические процессы организма человека</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определять и оценивать морфофункциональные, физиологические состояния и патологические процессы организма человека;применять в коммуникационном процессе для ускорения процесса передачи информации дистанционные технологии.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Определяет и оценивает морфофункциональные, физиологические состояния и патологические процессы организма человека</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определения и оценки  морфофункциональных, физиологических состояний и патологических процессов организма человека;- навыками поиска необходимой информации посредством Internet-ресурсов, официальных сайтов;-Навыками применения дистанционных технологий</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ОПК-5 ИОПК-5.2</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алгоритм клинико-лабораторной и функциональной диагностики при решении профессиональных задач</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Применяет алгоритм клинико-лабораторной и функциональной диагностики при решении профессиональных задач</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применять алгоритм клинико-лабораторной и функциональной диагностики при решении профессиональных задач</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Применяет алгоритм клинико-лабораторной и функциональной диагностики при решении профессиональных задач</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навыком применения алгоритма клинико-лабораторной и функциональной диагностики при решении профессиональных задач</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ОПК-5 ИОПК-5.3</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способы и критерии оценки результатов клинико-лабораторной и функциональной диагностики при решении профессиональных задач</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Оценивает результаты клинико-лабораторной и функциональной диагностики при решении профессиональных задач</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Уметь:оценивать результаты клинико-лабораторной и функциональной диагностики при решении профессиональных задач</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Общепрофессиональные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ОПК-5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Оценивает результаты клинико-лабораторной и функциональной диагностики при решении профессиональных задач</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оценки результатов клинико-лабораторной и функциональной диагностики при решении профессиональных задач</w:t>
            </w:r>
          </w:p>
        </w:tc>
      </w:tr>
      <w:tr>
        <w:trPr>
          <w:cantSplit/>
          <w:trHeight w:val="0" w:hRule="auto"/>
        </w:trPr>
        <w:tc>
          <w:tcPr>
            <w:tcW w:w="249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ПК-13 Способность к ведению медицинской документации в медицинских организациях</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ПК-13 ИПК-13.1</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схему истории болезни,правила оформления протокола ЭКГ,правила написания истории болезни.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ПК-13 Способность к ведению медицинской документации в медицинских организациях</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Соблюдает основные требования в отношении оформления (ведения) медицинской документации в объеме работы, входящих в обязанности врача, в том числе в электронном виде (правила оформления и выдачи документов при направлении на госпитализацию, на санаторно-курортное лечение, на посещение образовательных организаций, при временной утрате трудоспособности и т.п.) с выполнением правил информационной безопасности и сохранения врачебной тайны</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оформлять протокол исследования ЭКГ,оформлять историю болезни.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ПК-13 Способность к ведению медицинской документации в медицинских организациях</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Соблюдает основные требования в отношении оформления (ведения) медицинской документации в объеме работы, входящих в обязанности врача, в том числе в электронном виде (правила оформления и выдачи документов при направлении на госпитализацию, на санаторно-курортное лечение, на посещение образовательных организаций, при временной утрате трудоспособности и т.п.) с выполнением правил информационной безопасности и сохранения врачебной тайны</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оформления протокола ЭКГ,навыками написания медицинской карты пациента (истории болезни).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ПК-13 Способность к ведению медицинской документации в медицинских организациях</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ПК-13 ИПК-13.2</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правила и способы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 возможности Internet-ресурсов при решении учебных и профессиональных задач (официальные сайты Минздрава РФ и РТ, электронный каталог научной библиотеки  Казанского ГМУ, электронно-библиотечная система Казанско</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ПК-13 Способность к ведению медицинской документации в медицинских организациях</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Применяет навыки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Уметь: вести медицинскую учетно-отчетную документацию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т.п.);-Применять для ускорения процесса передачи, обработки и интерпретации полученной информации программные продукты</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ПК-13 Способность к ведению медицинской документации в медицинских организациях</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Применяет навыки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 навыками поиска необходимой информации посредством Internet-ресурсов, официальных сайтов;-навыками применения программных продуктов</w:t>
            </w:r>
          </w:p>
        </w:tc>
      </w:tr>
      <w:tr>
        <w:trPr>
          <w:cantSplit/>
          <w:trHeight w:val="0" w:hRule="auto"/>
        </w:trPr>
        <w:tc>
          <w:tcPr>
            <w:tcW w:w="249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ПК-3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ПК-3 ИПК-3.1</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ПК-3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Использует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использовать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ПК-3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Использует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использования правил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ПК-3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ПК-3 ИПК-3.2</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ПК-3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Использует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применять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Профессиональные и дополнительные профессиональные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ПК-3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Использует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использования приемов и технологий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r>
      <w:tr>
        <w:trPr>
          <w:cantSplit/>
          <w:trHeight w:val="0" w:hRule="auto"/>
        </w:trPr>
        <w:tc>
          <w:tcPr>
            <w:tcW w:w="249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Универсальные компетенции</w:t>
            </w:r>
          </w:p>
        </w:tc>
        <w:tc>
          <w:tcPr>
            <w:tcW w:w="261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УК-4 ИУК-4.1</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иностранный язык на уровне профессионального общения и письменного перевода; основную медицинскую терминологию; основные грамматические правила, характерные для профессиональной медицинской речи;-наиболее эффективные для академического и профессионального взаимодействия вербальные и невербальные средства коммуникации, способы эффективного ведения диалога с партнером, высказывания и обосновывания мнения (суждения) и запроса мнения партнера с соблюдением общепринятых норм общения; -возможн</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Универсальные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Выбирает и использует наиболее эффективные для академического и профессионального взаимодействия вербальные и невербальные средства коммуникации, эффективно ведет диалог с партнером, высказывает и обосновывает мнения (суждения) и запрашивает мнения партнера с соблюдением общепринятых норм общения</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выбирать и использовать наиболее эффективные для академического и профессионального взаимодействия вербальные и невербальные средства коммуникации, -эффективно вести диалог с партнером, высказывать и обосновывать мнение (суждения) и запрашивать мнение партнера с соблюдением общепринятых норм общения;-документировать деятельность с применением программных продуктов;осуществлять обмен информацией с применением интернет-систем, дистанционных технологий</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Универсальные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Выбирает и использует наиболее эффективные для академического и профессионального взаимодействия вербальные и невербальные средства коммуникации, эффективно ведет диалог с партнером, высказывает и обосновывает мнения (суждения) и запрашивает мнения партнера с соблюдением общепринятых норм общения</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Владеть: навыками выбора и использования наиболее эффективных для академического и профессионального взаимодействия вербальных и невербальных средств коммуникации, -навыками эффективного ведения диалога с партнером,-навыками высказывания и обосновывания мнения (суждения) и запроса мнения партнера с соблюдением общепринятых норм общения;-навыками документирования деятельности с применением программных продуктов;навыками осуществления обмена информацией с применением системы, дистанци</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Универсальные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520" w:type="dxa"/>
            <w:tcBorders>
              <w:top w:val="single" w:sz="5" w:space="0" w:color="auto"/>
              <w:left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УК-4 ИУК-4.2</w:t>
            </w:r>
          </w:p>
        </w:tc>
        <w:tc>
          <w:tcPr>
            <w:tcW w:w="3255" w:type="dxa"/>
            <w:gridSpan w:val="3"/>
            <w:tcBorders>
              <w:top w:val="single" w:sz="5" w:space="0" w:color="auto"/>
              <w:right w:val="single" w:sz="5" w:space="0" w:color="auto"/>
            </w:tcBorders>
            <w:shd w:val="clear" w:color="auto" w:fill="auto"/>
            <w:textDirection w:val="lrTb"/>
            <w:vAlign w:val="center"/>
          </w:tcPr>
          <w:p>
            <w:pPr>
              <w:spacing w:after="0"/>
              <w:wordWrap w:val="1"/>
              <w:jc w:val="both"/>
            </w:pPr>
            <w:r>
              <w:rPr>
                <w:rFonts w:ascii="Times New Roman" w:hAnsi="Times New Roman"/>
                <w:sz w:val="24"/>
                <w:szCs w:val="24"/>
              </w:rPr>
              <w:t>Знать: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технологии;-возможности Internet-ресурсов (официальные сайты Минздрава РФ и РТ, электронно-библиотечная система Казанского ГМУ, «Консультант плюс», «Консультант студента», Гарант,) и программных продуктов при решении учебных и профессиональных задач.</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Универсальные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520" w:type="dxa"/>
            <w:vMerge w:val="restart"/>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Соблюдает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w:t>
            </w:r>
          </w:p>
        </w:tc>
        <w:tc>
          <w:tcPr>
            <w:tcW w:w="3255" w:type="dxa"/>
            <w:gridSpan w:val="3"/>
            <w:tcBorders>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Уметь: вести диалогическую и монологическую речь с использованием лексико- грамматических средств в основных коммуникативных ситуациях неофициального и официального общения,расшифровывать аббревиатуры, символы, формулы и др. с аналогами в родном языке;компенсировать недостаток в предметных, языковых и деловых знаниях с помощью справочных материалов, в том числе использованием словарей;документировать деятельность с применением программных продуктов;осуществлять обмен информацией с применение</w:t>
            </w:r>
          </w:p>
        </w:tc>
      </w:tr>
      <w:tr>
        <w:trPr>
          <w:cantSplit/>
          <w:trHeight w:val="0" w:hRule="auto"/>
        </w:trPr>
        <w:tc>
          <w:tcPr>
            <w:tcW w:w="249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Универсальные компетенции</w:t>
            </w:r>
          </w:p>
        </w:tc>
        <w:tc>
          <w:tcPr>
            <w:tcW w:w="261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520" w:type="dxa"/>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Соблюдает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w:t>
            </w:r>
          </w:p>
        </w:tc>
        <w:tc>
          <w:tcPr>
            <w:tcW w:w="3255" w:type="dxa"/>
            <w:gridSpan w:val="3"/>
            <w:tcBorders>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Владеть: навыками публичных деловых и научных коммуникаций в медицинской среде;навыками работы со словарем для чтения и понимания текстов в т.ч. и по узкому профилю специальности;основными грамматическими навыками для ведения переписки в сфере медицинской деятельности и оформления медицинской документации;навыками речевого общения с целью использования их в профессиональных дискуссиях, конференциях, переговорах, интервью и других видах речевой деятельности;-навыками работы с поисковыми систе</w:t>
            </w:r>
          </w:p>
        </w:tc>
      </w:tr>
      <w:p>
        <w:r>
          <w:br w:type="page"/>
        </w:r>
      </w:p>
    </w:tbl>
    <w:tbl>
      <w:tblPr>
        <w:tblStyle w:val="TableStyle14"/>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2. Место дисциплины в структуре образовательной программы</w:t>
            </w:r>
          </w:p>
        </w:tc>
      </w:tr>
      <w:tr>
        <w:trPr>
          <w:cantSplit/>
          <w:trHeight w:val="0" w:hRule="auto"/>
        </w:trPr>
        <w:tc>
          <w:tcPr>
            <w:tcW w:w="10875" w:type="dxa"/>
            <w:gridSpan w:val="52"/>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Дисциплина является основополагающей для изучения следующих дисциплин:  "Внутренние болезни, военно-полевая терапия", "Восстановительная медицина", "Инфекционные болезни, паразитология", "Фармакология".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Области профессиональной деятельности и сферы профессиональной деятельности, в которых выпускники, освоившие программу специалиста,  могут осуществлять профессиональную деятельность:</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02 Здравоохранение (в сфере оказания первичной медико-санитарной помощи, специализированной, скорой, паллиативной медицинской помощи детям, включающей мероприятия по профилактике, диагностике, лечению заболеваний и состояний, медицинской реабилитации, формированию здорового образа жизни и санитарно-гигиеническому просвещению населения);</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07 Административно-управленческая и офисная деятельность (в сфере деятельности организаций здравоохранения);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В рамках освоения программ специалитета/бакалавриата выпускники могут готовиться к решению задач профессиональной деятельности следующих типов:</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диагностический;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лечебный;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реабилитационный;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профилактический;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left"/>
            </w:pPr>
            <w:r>
              <w:rPr>
                <w:rFonts w:ascii="Times New Roman" w:hAnsi="Times New Roman"/>
                <w:sz w:val="24"/>
                <w:szCs w:val="24"/>
              </w:rPr>
              <w:t xml:space="preserve">     организационно-управленческий;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p>
        <w:r>
          <w:br w:type="page"/>
        </w:r>
      </w:p>
      <w:tr>
        <w:trPr>
          <w:cantSplit/>
          <w:trHeight w:val="0" w:hRule="auto"/>
        </w:trPr>
        <w:tc>
          <w:tcPr>
            <w:tcW w:w="3315" w:type="dxa"/>
            <w:gridSpan w:val="11"/>
            <w:shd w:val="clear" w:color="auto" w:fill="auto"/>
            <w:textDirection w:val="lrTb"/>
            <w:vAlign w:val="bottom"/>
          </w:tcPr>
          <w:p>
            <w:pPr>
              <w:spacing w:after="0"/>
              <w:jc w:val="center"/>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3. Объем дисциплины в зачетных единицах с указанием количества </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академических часов, выделенных на контактную работу обучающихся с </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преподавателем (по видам учебных занятий) и на самостоятельную работу обучающихся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Общая трудоемкость дисциплины составляет  4 зачетных единицы,  144  академических часа.</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3.1. Объем учебной дисциплины и виды учебной работы  (очное отделение)</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Промежуточная аттестация – Экзамен  (18 час.).</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Всего</w:t>
            </w:r>
          </w:p>
        </w:tc>
        <w:tc>
          <w:tcPr>
            <w:tcW w:w="5145" w:type="dxa"/>
            <w:gridSpan w:val="3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Контактная работа</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Самостоятельная работа</w:t>
            </w:r>
          </w:p>
        </w:tc>
      </w:tr>
      <w:tr>
        <w:trPr>
          <w:cantSplit/>
          <w:trHeight w:val="645" w:hRule="atLeast"/>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Всего</w:t>
            </w:r>
          </w:p>
        </w:tc>
        <w:tc>
          <w:tcPr>
            <w:tcW w:w="271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Лекции</w:t>
            </w:r>
          </w:p>
        </w:tc>
        <w:tc>
          <w:tcPr>
            <w:tcW w:w="2430" w:type="dxa"/>
            <w:gridSpan w:val="17"/>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Практические занятия (семинарские занятия)</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Самостоятельная работа</w:t>
            </w:r>
          </w:p>
        </w:tc>
      </w:tr>
      <w:tr>
        <w:trPr>
          <w:cantSplit/>
          <w:trHeight w:val="0" w:hRule="auto"/>
        </w:trPr>
        <w:tc>
          <w:tcPr>
            <w:tcW w:w="33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144</w:t>
            </w:r>
          </w:p>
        </w:tc>
        <w:tc>
          <w:tcPr>
            <w:tcW w:w="271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24</w:t>
            </w:r>
          </w:p>
        </w:tc>
        <w:tc>
          <w:tcPr>
            <w:tcW w:w="2430" w:type="dxa"/>
            <w:gridSpan w:val="17"/>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60</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42</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p>
        <w:r>
          <w:br w:type="page"/>
        </w:r>
      </w:p>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4. Содержание дисциплины (модуля), структурированное по темам (разделам) с </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указанием отведенного на них количества академических или астрономических часов и</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видов учебных занятий</w:t>
            </w:r>
          </w:p>
        </w:tc>
      </w:tr>
      <w:tr>
        <w:trPr>
          <w:cantSplit/>
          <w:trHeight w:val="0" w:hRule="auto"/>
        </w:trPr>
        <w:tc>
          <w:tcPr>
            <w:tcW w:w="10875" w:type="dxa"/>
            <w:gridSpan w:val="52"/>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4.1. Разделы дисциплины (модуля) и трудоемкость по видам учебных занятий</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(в академических часах) (очное отделение)</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15"/>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270"/>
        <w:gridCol w:w="180"/>
        <w:gridCol w:w="90"/>
        <w:gridCol w:w="105"/>
        <w:gridCol w:w="75"/>
        <w:gridCol w:w="90"/>
        <w:gridCol w:w="180"/>
        <w:gridCol w:w="195"/>
        <w:gridCol w:w="90"/>
        <w:gridCol w:w="45"/>
        <w:gridCol w:w="60"/>
        <w:gridCol w:w="90"/>
        <w:gridCol w:w="180"/>
        <w:gridCol w:w="375"/>
        <w:gridCol w:w="195"/>
        <w:gridCol w:w="90"/>
        <w:gridCol w:w="45"/>
        <w:gridCol w:w="60"/>
        <w:gridCol w:w="45"/>
        <w:gridCol w:w="75"/>
        <w:gridCol w:w="105"/>
        <w:gridCol w:w="825"/>
        <w:gridCol w:w="720"/>
        <w:gridCol w:w="120"/>
        <w:gridCol w:w="60"/>
        <w:gridCol w:w="60"/>
        <w:gridCol w:w="75"/>
        <w:gridCol w:w="75"/>
        <w:gridCol w:w="300"/>
        <w:gridCol w:w="615"/>
        <w:gridCol w:w="105"/>
        <w:gridCol w:w="285"/>
        <w:gridCol w:w="480"/>
        <w:gridCol w:w="240"/>
        <w:gridCol w:w="120"/>
        <w:gridCol w:w="45"/>
        <w:gridCol w:w="75"/>
      </w:tblGrid>
      <w:tr>
        <w:trPr>
          <w:cantSplit/>
          <w:trHeight w:val="585" w:hRule="atLeast"/>
        </w:trPr>
        <w:tc>
          <w:tcPr>
            <w:tcW w:w="168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24"/>
                <w:szCs w:val="24"/>
              </w:rPr>
              <w:t>Общая трудоемкость (в часах)</w:t>
            </w:r>
          </w:p>
        </w:tc>
        <w:tc>
          <w:tcPr>
            <w:tcW w:w="5145" w:type="dxa"/>
            <w:gridSpan w:val="30"/>
            <w:vMerge w:val="restart"/>
            <w:tcBorders>
              <w:top w:val="single" w:sz="5" w:space="0" w:color="auto"/>
              <w:lef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Виды учебных занятий,</w:t>
            </w:r>
          </w:p>
          <w:p>
            <w:pPr>
              <w:spacing w:after="0"/>
              <w:wordWrap w:val="1"/>
              <w:jc w:val="center"/>
            </w:pPr>
            <w:r>
              <w:rPr>
                <w:rFonts w:ascii="Times New Roman" w:hAnsi="Times New Roman"/>
                <w:b/>
                <w:sz w:val="24"/>
                <w:szCs w:val="24"/>
              </w:rPr>
              <w:t>включая самостоятельную работу</w:t>
            </w:r>
          </w:p>
        </w:tc>
        <w:tc>
          <w:tcPr>
            <w:tcW w:w="2415" w:type="dxa"/>
            <w:gridSpan w:val="11"/>
            <w:tcBorders>
              <w:top w:val="single" w:sz="5" w:space="0" w:color="auto"/>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Формы</w:t>
            </w:r>
          </w:p>
        </w:tc>
      </w:tr>
      <w:tr>
        <w:trPr>
          <w:cantSplit/>
          <w:trHeight w:val="585" w:hRule="atLeast"/>
        </w:trPr>
        <w:tc>
          <w:tcPr>
            <w:tcW w:w="168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Общая трудоемкость (в часах)</w:t>
            </w:r>
          </w:p>
        </w:tc>
        <w:tc>
          <w:tcPr>
            <w:tcW w:w="5145" w:type="dxa"/>
            <w:gridSpan w:val="30"/>
            <w:vMerge w:val="continue"/>
            <w:tcBorders>
              <w:top w:val="single" w:sz="5" w:space="0" w:color="auto"/>
              <w:lef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Виды учебных занятий,</w:t>
            </w:r>
          </w:p>
          <w:p>
            <w:pPr>
              <w:spacing w:after="0"/>
              <w:wordWrap w:val="1"/>
              <w:jc w:val="center"/>
            </w:pPr>
            <w:r>
              <w:rPr>
                <w:rFonts w:ascii="Times New Roman" w:hAnsi="Times New Roman"/>
                <w:b/>
                <w:sz w:val="24"/>
                <w:szCs w:val="24"/>
              </w:rPr>
              <w:t>включая самостоятельную работу</w:t>
            </w:r>
          </w:p>
        </w:tc>
        <w:tc>
          <w:tcPr>
            <w:tcW w:w="2415" w:type="dxa"/>
            <w:gridSpan w:val="11"/>
            <w:tcBorders>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текущего</w:t>
            </w:r>
          </w:p>
        </w:tc>
      </w:tr>
      <w:tr>
        <w:trPr>
          <w:cantSplit/>
          <w:trHeight w:val="0" w:hRule="auto"/>
        </w:trPr>
        <w:tc>
          <w:tcPr>
            <w:tcW w:w="168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Общая трудоемкость (в часах)</w:t>
            </w:r>
          </w:p>
        </w:tc>
        <w:tc>
          <w:tcPr>
            <w:tcW w:w="5145" w:type="dxa"/>
            <w:gridSpan w:val="30"/>
            <w:tcBorders>
              <w:left w:val="single" w:sz="5" w:space="0" w:color="auto"/>
              <w:bottom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 xml:space="preserve"> обучающихся и трудоёмкость</w:t>
            </w:r>
          </w:p>
          <w:p>
            <w:pPr>
              <w:spacing w:after="0"/>
              <w:wordWrap w:val="1"/>
              <w:jc w:val="center"/>
            </w:pPr>
            <w:r>
              <w:rPr>
                <w:rFonts w:ascii="Times New Roman" w:hAnsi="Times New Roman"/>
                <w:b/>
                <w:sz w:val="24"/>
                <w:szCs w:val="24"/>
              </w:rPr>
              <w:t>(в часах)</w:t>
            </w:r>
          </w:p>
        </w:tc>
        <w:tc>
          <w:tcPr>
            <w:tcW w:w="2415" w:type="dxa"/>
            <w:gridSpan w:val="11"/>
            <w:tcBorders>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контроля</w:t>
            </w:r>
          </w:p>
        </w:tc>
      </w:tr>
      <w:tr>
        <w:trPr>
          <w:cantSplit/>
          <w:trHeight w:val="0" w:hRule="auto"/>
        </w:trPr>
        <w:tc>
          <w:tcPr>
            <w:tcW w:w="168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Общая трудоемкость (в часах)</w:t>
            </w:r>
          </w:p>
        </w:tc>
        <w:tc>
          <w:tcPr>
            <w:tcW w:w="3135" w:type="dxa"/>
            <w:gridSpan w:val="22"/>
            <w:tcBorders>
              <w:left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Аудиторные </w:t>
            </w:r>
          </w:p>
        </w:tc>
        <w:tc>
          <w:tcPr>
            <w:tcW w:w="2010" w:type="dxa"/>
            <w:gridSpan w:val="8"/>
            <w:shd w:val="clear" w:color="auto" w:fill="auto"/>
            <w:textDirection w:val="lrTb"/>
            <w:vAlign w:val="bottom"/>
          </w:tcPr>
          <w:p>
            <w:pPr>
              <w:spacing w:after="0"/>
              <w:jc w:val="center"/>
            </w:pPr>
            <w:r>
              <w:rPr>
                <w:rFonts w:ascii="Times New Roman" w:hAnsi="Times New Roman"/>
                <w:b/>
                <w:sz w:val="24"/>
                <w:szCs w:val="24"/>
              </w:rPr>
              <w:t>Самостоятельная</w:t>
            </w:r>
          </w:p>
        </w:tc>
        <w:tc>
          <w:tcPr>
            <w:tcW w:w="2415" w:type="dxa"/>
            <w:gridSpan w:val="11"/>
            <w:vMerge w:val="restart"/>
            <w:tcBorders>
              <w:left w:val="single" w:sz="5" w:space="0" w:color="auto"/>
              <w:bottom w:val="single" w:sz="5" w:space="0" w:color="auto"/>
              <w:right w:val="single" w:sz="5" w:space="0" w:color="auto"/>
            </w:tcBorders>
            <w:shd w:val="clear" w:color="auto" w:fill="auto"/>
            <w:textDirection w:val="lrTb"/>
            <w:vAlign w:val="center"/>
          </w:tcPr>
          <w:p>
            <w:pPr>
              <w:spacing w:after="0"/>
              <w:jc w:val="center"/>
            </w:pPr>
            <w:r>
              <w:rPr>
                <w:rFonts w:ascii="Times New Roman" w:hAnsi="Times New Roman"/>
                <w:b/>
                <w:sz w:val="24"/>
                <w:szCs w:val="24"/>
              </w:rPr>
              <w:t>успеваемости</w:t>
            </w:r>
          </w:p>
        </w:tc>
      </w:tr>
      <w:tr>
        <w:trPr>
          <w:cantSplit/>
          <w:trHeight w:val="0" w:hRule="auto"/>
        </w:trPr>
        <w:tc>
          <w:tcPr>
            <w:tcW w:w="168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Общая трудоемкость (в часах)</w:t>
            </w:r>
          </w:p>
        </w:tc>
        <w:tc>
          <w:tcPr>
            <w:tcW w:w="3135" w:type="dxa"/>
            <w:gridSpan w:val="22"/>
            <w:tcBorders>
              <w:left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учебные занятия</w:t>
            </w:r>
          </w:p>
        </w:tc>
        <w:tc>
          <w:tcPr>
            <w:tcW w:w="2010" w:type="dxa"/>
            <w:gridSpan w:val="8"/>
            <w:shd w:val="clear" w:color="auto" w:fill="auto"/>
            <w:textDirection w:val="lrTb"/>
            <w:vAlign w:val="bottom"/>
          </w:tcPr>
          <w:p>
            <w:pPr>
              <w:spacing w:after="0"/>
              <w:jc w:val="center"/>
            </w:pPr>
            <w:r>
              <w:rPr>
                <w:rFonts w:ascii="Times New Roman" w:hAnsi="Times New Roman"/>
                <w:b/>
                <w:sz w:val="24"/>
                <w:szCs w:val="24"/>
              </w:rPr>
              <w:t>работа</w:t>
            </w:r>
          </w:p>
        </w:tc>
        <w:tc>
          <w:tcPr>
            <w:tcW w:w="2415" w:type="dxa"/>
            <w:gridSpan w:val="11"/>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успеваемости</w:t>
            </w:r>
          </w:p>
        </w:tc>
      </w:tr>
      <w:tr>
        <w:trPr>
          <w:cantSplit/>
          <w:trHeight w:val="0" w:hRule="auto"/>
        </w:trPr>
        <w:tc>
          <w:tcPr>
            <w:tcW w:w="168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Общая трудоемкость (в часах)</w:t>
            </w:r>
          </w:p>
        </w:tc>
        <w:tc>
          <w:tcPr>
            <w:tcW w:w="1995" w:type="dxa"/>
            <w:gridSpan w:val="13"/>
            <w:tcBorders>
              <w:top w:val="single" w:sz="5" w:space="0" w:color="auto"/>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Лекции</w:t>
            </w:r>
          </w:p>
        </w:tc>
        <w:tc>
          <w:tcPr>
            <w:tcW w:w="1140" w:type="dxa"/>
            <w:gridSpan w:val="9"/>
            <w:tcBorders>
              <w:top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Практ. </w:t>
            </w:r>
          </w:p>
        </w:tc>
        <w:tc>
          <w:tcPr>
            <w:tcW w:w="2010" w:type="dxa"/>
            <w:gridSpan w:val="8"/>
            <w:shd w:val="clear" w:color="auto" w:fill="auto"/>
            <w:textDirection w:val="lrTb"/>
            <w:vAlign w:val="bottom"/>
          </w:tcPr>
          <w:p>
            <w:pPr>
              <w:spacing w:after="0"/>
              <w:jc w:val="center"/>
            </w:pPr>
            <w:r>
              <w:rPr>
                <w:rFonts w:ascii="Times New Roman" w:hAnsi="Times New Roman"/>
                <w:b/>
                <w:sz w:val="24"/>
                <w:szCs w:val="24"/>
              </w:rPr>
              <w:t>обучающихся</w:t>
            </w:r>
          </w:p>
        </w:tc>
        <w:tc>
          <w:tcPr>
            <w:tcW w:w="2415" w:type="dxa"/>
            <w:gridSpan w:val="11"/>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успеваемости</w:t>
            </w:r>
          </w:p>
        </w:tc>
      </w:tr>
      <w:tr>
        <w:trPr>
          <w:cantSplit/>
          <w:trHeight w:val="0" w:hRule="auto"/>
        </w:trPr>
        <w:tc>
          <w:tcPr>
            <w:tcW w:w="168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Разделы / </w:t>
            </w:r>
          </w:p>
          <w:p>
            <w:pPr>
              <w:spacing w:after="0"/>
              <w:wordWrap w:val="1"/>
              <w:jc w:val="center"/>
            </w:pPr>
            <w:r>
              <w:rPr>
                <w:rFonts w:ascii="Times New Roman" w:hAnsi="Times New Roman"/>
                <w:b/>
                <w:sz w:val="24"/>
                <w:szCs w:val="24"/>
              </w:rPr>
              <w:t>темы дисциплины</w:t>
            </w:r>
          </w:p>
        </w:tc>
        <w:tc>
          <w:tcPr>
            <w:tcW w:w="163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Общая трудоемкость (в часах)</w:t>
            </w:r>
          </w:p>
        </w:tc>
        <w:tc>
          <w:tcPr>
            <w:tcW w:w="1995" w:type="dxa"/>
            <w:gridSpan w:val="13"/>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p>
        </w:tc>
        <w:tc>
          <w:tcPr>
            <w:tcW w:w="1140" w:type="dxa"/>
            <w:gridSpan w:val="9"/>
            <w:tcBorders>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занят</w:t>
            </w:r>
          </w:p>
        </w:tc>
        <w:tc>
          <w:tcPr>
            <w:tcW w:w="2010" w:type="dxa"/>
            <w:gridSpan w:val="8"/>
            <w:tcBorders>
              <w:bottom w:val="single" w:sz="5" w:space="0" w:color="auto"/>
            </w:tcBorders>
            <w:shd w:val="clear" w:color="auto" w:fill="auto"/>
            <w:textDirection w:val="lrTb"/>
            <w:vAlign w:val="bottom"/>
          </w:tcPr>
          <w:p>
            <w:pPr>
              <w:spacing w:after="0"/>
              <w:jc w:val="center"/>
            </w:pPr>
          </w:p>
        </w:tc>
        <w:tc>
          <w:tcPr>
            <w:tcW w:w="2415" w:type="dxa"/>
            <w:gridSpan w:val="11"/>
            <w:vMerge w:val="continue"/>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успеваемости</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 xml:space="preserve"> Раздел 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40</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8</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16</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16</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1.1.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8</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1.2.</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8</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1.3.</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9</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1.4.</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5</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1.5.</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8</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1.6.</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тестирование</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 xml:space="preserve"> Раздел 2.</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22</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8</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2.1.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9</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2.2.</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9</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2.3.</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тестирование</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 xml:space="preserve"> Раздел 3.</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24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6</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6</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3.1.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8</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кейс-задача,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3.2.</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8</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кейс-задача,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3.3.</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6</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кейс-задача,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3.4.</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 xml:space="preserve"> Раздел 4.</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32</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8</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4.1.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7</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4.2.</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9</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4.3.</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5</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презентации, реферат, тестирование, устный опрос</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4.4.</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тестирование</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 xml:space="preserve"> Раздел 5.</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5.1.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 xml:space="preserve"> Раздел 6.</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Тема 6.1.</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контрольная работа, тестирование</w:t>
            </w:r>
          </w:p>
        </w:tc>
      </w:tr>
      <w:tr>
        <w:trPr>
          <w:cantSplit/>
          <w:trHeight w:val="0" w:hRule="auto"/>
        </w:trPr>
        <w:tc>
          <w:tcPr>
            <w:tcW w:w="1680" w:type="dxa"/>
            <w:gridSpan w:val="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4"/>
                <w:szCs w:val="24"/>
              </w:rPr>
              <w:t>ВСЕГО:</w:t>
            </w:r>
          </w:p>
        </w:tc>
        <w:tc>
          <w:tcPr>
            <w:tcW w:w="163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4"/>
                <w:szCs w:val="24"/>
              </w:rPr>
              <w:t>144</w:t>
            </w:r>
          </w:p>
        </w:tc>
        <w:tc>
          <w:tcPr>
            <w:tcW w:w="1995" w:type="dxa"/>
            <w:gridSpan w:val="13"/>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24</w:t>
            </w:r>
          </w:p>
        </w:tc>
        <w:tc>
          <w:tcPr>
            <w:tcW w:w="114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60</w:t>
            </w:r>
          </w:p>
        </w:tc>
        <w:tc>
          <w:tcPr>
            <w:tcW w:w="2010"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42</w:t>
            </w:r>
          </w:p>
        </w:tc>
        <w:tc>
          <w:tcPr>
            <w:tcW w:w="2415" w:type="dxa"/>
            <w:gridSpan w:val="1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18</w:t>
            </w:r>
          </w:p>
        </w:tc>
      </w:tr>
      <w:p>
        <w:r>
          <w:br w:type="page"/>
        </w:r>
      </w:p>
    </w:tbl>
    <w:tbl>
      <w:tblPr>
        <w:tblStyle w:val="TableStyle16"/>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810" w:type="dxa"/>
            <w:shd w:val="clear" w:color="auto" w:fill="auto"/>
            <w:textDirection w:val="lrTb"/>
            <w:vAlign w:val="bottom"/>
          </w:tcPr>
          <w:p>
            <w:pPr>
              <w:spacing w:after="0"/>
              <w:jc w:val="left"/>
            </w:pPr>
          </w:p>
        </w:tc>
        <w:tc>
          <w:tcPr>
            <w:tcW w:w="660" w:type="dxa"/>
            <w:shd w:val="clear" w:color="auto" w:fill="auto"/>
            <w:textDirection w:val="lrTb"/>
            <w:vAlign w:val="bottom"/>
          </w:tcPr>
          <w:p>
            <w:pPr>
              <w:spacing w:after="0"/>
              <w:jc w:val="left"/>
            </w:pPr>
          </w:p>
        </w:tc>
        <w:tc>
          <w:tcPr>
            <w:tcW w:w="210" w:type="dxa"/>
            <w:shd w:val="clear" w:color="auto" w:fill="auto"/>
            <w:textDirection w:val="lrTb"/>
            <w:vAlign w:val="bottom"/>
          </w:tcPr>
          <w:p>
            <w:pPr>
              <w:spacing w:after="0"/>
              <w:jc w:val="left"/>
            </w:pPr>
          </w:p>
        </w:tc>
        <w:tc>
          <w:tcPr>
            <w:tcW w:w="90" w:type="dxa"/>
            <w:shd w:val="clear" w:color="auto" w:fill="auto"/>
            <w:textDirection w:val="lrTb"/>
            <w:vAlign w:val="bottom"/>
          </w:tcPr>
          <w:p>
            <w:pPr>
              <w:spacing w:after="0"/>
              <w:jc w:val="left"/>
            </w:pPr>
          </w:p>
        </w:tc>
        <w:tc>
          <w:tcPr>
            <w:tcW w:w="105" w:type="dxa"/>
            <w:shd w:val="clear" w:color="auto" w:fill="auto"/>
            <w:textDirection w:val="lrTb"/>
            <w:vAlign w:val="bottom"/>
          </w:tcPr>
          <w:p>
            <w:pPr>
              <w:spacing w:after="0"/>
              <w:jc w:val="left"/>
            </w:pPr>
          </w:p>
        </w:tc>
        <w:tc>
          <w:tcPr>
            <w:tcW w:w="210" w:type="dxa"/>
            <w:shd w:val="clear" w:color="auto" w:fill="auto"/>
            <w:textDirection w:val="lrTb"/>
            <w:vAlign w:val="bottom"/>
          </w:tcPr>
          <w:p>
            <w:pPr>
              <w:spacing w:after="0"/>
              <w:jc w:val="left"/>
            </w:pPr>
          </w:p>
        </w:tc>
        <w:tc>
          <w:tcPr>
            <w:tcW w:w="405" w:type="dxa"/>
            <w:shd w:val="clear" w:color="auto" w:fill="auto"/>
            <w:textDirection w:val="lrTb"/>
            <w:vAlign w:val="bottom"/>
          </w:tcPr>
          <w:p>
            <w:pPr>
              <w:spacing w:after="0"/>
              <w:jc w:val="left"/>
            </w:pPr>
          </w:p>
        </w:tc>
        <w:tc>
          <w:tcPr>
            <w:tcW w:w="405" w:type="dxa"/>
            <w:shd w:val="clear" w:color="auto" w:fill="auto"/>
            <w:textDirection w:val="lrTb"/>
            <w:vAlign w:val="bottom"/>
          </w:tcPr>
          <w:p>
            <w:pPr>
              <w:spacing w:after="0"/>
              <w:jc w:val="left"/>
            </w:pPr>
          </w:p>
        </w:tc>
        <w:tc>
          <w:tcPr>
            <w:tcW w:w="210" w:type="dxa"/>
            <w:shd w:val="clear" w:color="auto" w:fill="auto"/>
            <w:textDirection w:val="lrTb"/>
            <w:vAlign w:val="bottom"/>
          </w:tcPr>
          <w:p>
            <w:pPr>
              <w:spacing w:after="0"/>
              <w:jc w:val="left"/>
            </w:pPr>
          </w:p>
        </w:tc>
        <w:tc>
          <w:tcPr>
            <w:tcW w:w="105" w:type="dxa"/>
            <w:shd w:val="clear" w:color="auto" w:fill="auto"/>
            <w:textDirection w:val="lrTb"/>
            <w:vAlign w:val="bottom"/>
          </w:tcPr>
          <w:p>
            <w:pPr>
              <w:spacing w:after="0"/>
              <w:jc w:val="left"/>
            </w:pPr>
          </w:p>
        </w:tc>
        <w:tc>
          <w:tcPr>
            <w:tcW w:w="105" w:type="dxa"/>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2415" w:type="dxa"/>
            <w:gridSpan w:val="11"/>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4.2. Содержание дисциплины (модуля), структурированное по темам (разделам)</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17"/>
        <w:tblW w:w="5000" w:type="pct"/>
        <w:tblLayout w:type="fixed"/>
        <w:tblCellMar>
          <w:left w:w="0" w:type="dxa"/>
          <w:right w:w="0" w:type="dxa"/>
        </w:tblCellMar>
        <w:tblLook w:val="04A0"/>
      </w:tblPr>
      <w:tblGrid>
        <w:gridCol w:w="1635"/>
        <w:gridCol w:w="570"/>
        <w:gridCol w:w="1425"/>
        <w:gridCol w:w="1425"/>
        <w:gridCol w:w="1515"/>
        <w:gridCol w:w="1800"/>
        <w:gridCol w:w="1665"/>
        <w:gridCol w:w="840"/>
      </w:tblGrid>
      <w:tr>
        <w:trPr>
          <w:cantSplit/>
          <w:trHeight w:val="0" w:hRule="auto"/>
        </w:trPr>
        <w:tc>
          <w:tcPr>
            <w:tcW w:w="2205" w:type="dxa"/>
            <w:gridSpan w:val="2"/>
            <w:tcBorders>
              <w:top w:val="single" w:sz="5" w:space="0" w:color="auto"/>
              <w:left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24"/>
                <w:szCs w:val="24"/>
              </w:rPr>
              <w:t>Наименование</w:t>
            </w:r>
          </w:p>
        </w:tc>
        <w:tc>
          <w:tcPr>
            <w:tcW w:w="6165" w:type="dxa"/>
            <w:gridSpan w:val="4"/>
            <w:tcBorders>
              <w:top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Содержание раздела (темы)</w:t>
            </w:r>
          </w:p>
        </w:tc>
        <w:tc>
          <w:tcPr>
            <w:tcW w:w="2505" w:type="dxa"/>
            <w:gridSpan w:val="2"/>
            <w:tcBorders>
              <w:top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Код компетенций</w:t>
            </w:r>
          </w:p>
        </w:tc>
      </w:tr>
      <w:tr>
        <w:trPr>
          <w:cantSplit/>
          <w:trHeight w:val="0" w:hRule="auto"/>
        </w:trPr>
        <w:tc>
          <w:tcPr>
            <w:tcW w:w="2205" w:type="dxa"/>
            <w:gridSpan w:val="2"/>
            <w:tcBorders>
              <w:left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24"/>
                <w:szCs w:val="24"/>
              </w:rPr>
              <w:t>раздела (темы)</w:t>
            </w:r>
          </w:p>
        </w:tc>
        <w:tc>
          <w:tcPr>
            <w:tcW w:w="2850" w:type="dxa"/>
            <w:gridSpan w:val="2"/>
            <w:shd w:val="clear" w:color="auto" w:fill="auto"/>
            <w:textDirection w:val="lrTb"/>
            <w:vAlign w:val="bottom"/>
          </w:tcPr>
          <w:p>
            <w:pPr>
              <w:spacing w:after="0"/>
              <w:jc w:val="left"/>
            </w:pPr>
          </w:p>
        </w:tc>
        <w:tc>
          <w:tcPr>
            <w:tcW w:w="1515" w:type="dxa"/>
            <w:shd w:val="clear" w:color="auto" w:fill="auto"/>
            <w:textDirection w:val="lrTb"/>
            <w:vAlign w:val="bottom"/>
          </w:tcPr>
          <w:p>
            <w:pPr>
              <w:spacing w:after="0"/>
              <w:jc w:val="left"/>
            </w:pPr>
          </w:p>
        </w:tc>
        <w:tc>
          <w:tcPr>
            <w:tcW w:w="1800" w:type="dxa"/>
            <w:tcBorders>
              <w:right w:val="single" w:sz="5" w:space="0" w:color="auto"/>
            </w:tcBorders>
            <w:shd w:val="clear" w:color="auto" w:fill="auto"/>
            <w:textDirection w:val="lrTb"/>
            <w:vAlign w:val="bottom"/>
          </w:tcPr>
          <w:p>
            <w:pPr>
              <w:spacing w:after="0"/>
              <w:jc w:val="left"/>
            </w:pPr>
          </w:p>
        </w:tc>
        <w:tc>
          <w:tcPr>
            <w:tcW w:w="1665" w:type="dxa"/>
            <w:shd w:val="clear" w:color="auto" w:fill="auto"/>
            <w:textDirection w:val="lrTb"/>
            <w:vAlign w:val="bottom"/>
          </w:tcPr>
          <w:p>
            <w:pPr>
              <w:spacing w:after="0"/>
              <w:jc w:val="left"/>
            </w:pPr>
          </w:p>
        </w:tc>
        <w:tc>
          <w:tcPr>
            <w:tcW w:w="840" w:type="dxa"/>
            <w:tcBorders>
              <w:right w:val="single" w:sz="5" w:space="0" w:color="auto"/>
            </w:tcBorders>
            <w:shd w:val="clear" w:color="auto" w:fill="auto"/>
            <w:textDirection w:val="lrTb"/>
            <w:vAlign w:val="bottom"/>
          </w:tcPr>
          <w:p>
            <w:pPr>
              <w:spacing w:after="0"/>
              <w:jc w:val="left"/>
            </w:pPr>
          </w:p>
        </w:tc>
      </w:tr>
      <w:tr>
        <w:trPr>
          <w:cantSplit/>
          <w:trHeight w:val="0" w:hRule="auto"/>
        </w:trPr>
        <w:tc>
          <w:tcPr>
            <w:tcW w:w="2205" w:type="dxa"/>
            <w:gridSpan w:val="2"/>
            <w:tcBorders>
              <w:left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24"/>
                <w:szCs w:val="24"/>
              </w:rPr>
              <w:t>дисциплины</w:t>
            </w:r>
          </w:p>
        </w:tc>
        <w:tc>
          <w:tcPr>
            <w:tcW w:w="2850" w:type="dxa"/>
            <w:gridSpan w:val="2"/>
            <w:shd w:val="clear" w:color="auto" w:fill="auto"/>
            <w:textDirection w:val="lrTb"/>
            <w:vAlign w:val="bottom"/>
          </w:tcPr>
          <w:p>
            <w:pPr>
              <w:spacing w:after="0"/>
              <w:jc w:val="left"/>
            </w:pPr>
          </w:p>
        </w:tc>
        <w:tc>
          <w:tcPr>
            <w:tcW w:w="1515" w:type="dxa"/>
            <w:shd w:val="clear" w:color="auto" w:fill="auto"/>
            <w:textDirection w:val="lrTb"/>
            <w:vAlign w:val="bottom"/>
          </w:tcPr>
          <w:p>
            <w:pPr>
              <w:spacing w:after="0"/>
              <w:jc w:val="left"/>
            </w:pPr>
          </w:p>
        </w:tc>
        <w:tc>
          <w:tcPr>
            <w:tcW w:w="1800" w:type="dxa"/>
            <w:tcBorders>
              <w:right w:val="single" w:sz="5" w:space="0" w:color="auto"/>
            </w:tcBorders>
            <w:shd w:val="clear" w:color="auto" w:fill="auto"/>
            <w:textDirection w:val="lrTb"/>
            <w:vAlign w:val="bottom"/>
          </w:tcPr>
          <w:p>
            <w:pPr>
              <w:spacing w:after="0"/>
              <w:jc w:val="left"/>
            </w:pPr>
          </w:p>
        </w:tc>
        <w:tc>
          <w:tcPr>
            <w:tcW w:w="1665" w:type="dxa"/>
            <w:shd w:val="clear" w:color="auto" w:fill="auto"/>
            <w:textDirection w:val="lrTb"/>
            <w:vAlign w:val="bottom"/>
          </w:tcPr>
          <w:p>
            <w:pPr>
              <w:spacing w:after="0"/>
              <w:jc w:val="left"/>
            </w:pPr>
          </w:p>
        </w:tc>
        <w:tc>
          <w:tcPr>
            <w:tcW w:w="840" w:type="dxa"/>
            <w:tcBorders>
              <w:right w:val="single" w:sz="5" w:space="0" w:color="auto"/>
            </w:tcBorders>
            <w:shd w:val="clear" w:color="auto" w:fill="auto"/>
            <w:textDirection w:val="lrTb"/>
            <w:vAlign w:val="bottom"/>
          </w:tcPr>
          <w:p>
            <w:pPr>
              <w:spacing w:after="0"/>
              <w:jc w:val="left"/>
            </w:pPr>
          </w:p>
        </w:tc>
      </w:tr>
      <w:tr>
        <w:trPr>
          <w:cantSplit/>
          <w:trHeight w:val="0" w:hRule="auto"/>
        </w:trPr>
        <w:tc>
          <w:tcPr>
            <w:tcW w:w="1635" w:type="dxa"/>
            <w:tcBorders>
              <w:left w:val="single" w:sz="5" w:space="0" w:color="auto"/>
              <w:bottom w:val="single" w:sz="5" w:space="0" w:color="auto"/>
            </w:tcBorders>
            <w:shd w:val="clear" w:color="auto" w:fill="auto"/>
            <w:textDirection w:val="lrTb"/>
            <w:vAlign w:val="top"/>
          </w:tcPr>
          <w:p>
            <w:pPr>
              <w:spacing w:after="0"/>
              <w:jc w:val="left"/>
            </w:pPr>
          </w:p>
        </w:tc>
        <w:tc>
          <w:tcPr>
            <w:tcW w:w="570" w:type="dxa"/>
            <w:tcBorders>
              <w:bottom w:val="single" w:sz="5" w:space="0" w:color="auto"/>
              <w:right w:val="single" w:sz="5" w:space="0" w:color="auto"/>
            </w:tcBorders>
            <w:shd w:val="clear" w:color="auto" w:fill="auto"/>
            <w:textDirection w:val="lrTb"/>
            <w:vAlign w:val="top"/>
          </w:tcPr>
          <w:p>
            <w:pPr>
              <w:spacing w:after="0"/>
              <w:jc w:val="center"/>
            </w:pPr>
          </w:p>
        </w:tc>
        <w:tc>
          <w:tcPr>
            <w:tcW w:w="2850" w:type="dxa"/>
            <w:gridSpan w:val="2"/>
            <w:tcBorders>
              <w:bottom w:val="single" w:sz="5" w:space="0" w:color="auto"/>
            </w:tcBorders>
            <w:shd w:val="clear" w:color="auto" w:fill="auto"/>
            <w:textDirection w:val="lrTb"/>
            <w:vAlign w:val="bottom"/>
          </w:tcPr>
          <w:p>
            <w:pPr>
              <w:spacing w:after="0"/>
              <w:jc w:val="left"/>
            </w:pPr>
          </w:p>
        </w:tc>
        <w:tc>
          <w:tcPr>
            <w:tcW w:w="1515" w:type="dxa"/>
            <w:tcBorders>
              <w:bottom w:val="single" w:sz="5" w:space="0" w:color="auto"/>
            </w:tcBorders>
            <w:shd w:val="clear" w:color="auto" w:fill="auto"/>
            <w:textDirection w:val="lrTb"/>
            <w:vAlign w:val="bottom"/>
          </w:tcPr>
          <w:p>
            <w:pPr>
              <w:spacing w:after="0"/>
              <w:jc w:val="left"/>
            </w:pPr>
          </w:p>
        </w:tc>
        <w:tc>
          <w:tcPr>
            <w:tcW w:w="1800" w:type="dxa"/>
            <w:tcBorders>
              <w:bottom w:val="single" w:sz="5" w:space="0" w:color="auto"/>
              <w:right w:val="single" w:sz="5" w:space="0" w:color="auto"/>
            </w:tcBorders>
            <w:shd w:val="clear" w:color="auto" w:fill="auto"/>
            <w:textDirection w:val="lrTb"/>
            <w:vAlign w:val="bottom"/>
          </w:tcPr>
          <w:p>
            <w:pPr>
              <w:spacing w:after="0"/>
              <w:jc w:val="left"/>
            </w:pPr>
          </w:p>
        </w:tc>
        <w:tc>
          <w:tcPr>
            <w:tcW w:w="1665" w:type="dxa"/>
            <w:tcBorders>
              <w:bottom w:val="single" w:sz="5" w:space="0" w:color="auto"/>
            </w:tcBorders>
            <w:shd w:val="clear" w:color="auto" w:fill="auto"/>
            <w:textDirection w:val="lrTb"/>
            <w:vAlign w:val="bottom"/>
          </w:tcPr>
          <w:p>
            <w:pPr>
              <w:spacing w:after="0"/>
              <w:jc w:val="left"/>
            </w:pPr>
          </w:p>
        </w:tc>
        <w:tc>
          <w:tcPr>
            <w:tcW w:w="840" w:type="dxa"/>
            <w:tcBorders>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Раздел 1.</w:t>
            </w:r>
          </w:p>
        </w:tc>
        <w:tc>
          <w:tcPr>
            <w:tcW w:w="6165" w:type="dxa"/>
            <w:gridSpan w:val="4"/>
            <w:shd w:val="clear" w:color="auto" w:fill="auto"/>
            <w:textDirection w:val="lrTb"/>
            <w:vAlign w:val="top"/>
          </w:tcPr>
          <w:p>
            <w:pPr>
              <w:spacing w:after="0"/>
              <w:wordWrap w:val="1"/>
              <w:jc w:val="both"/>
            </w:pP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1.1.</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Схема истории болезни. Анамнез. Общий осмотр</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1.2.</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Обследование больных с заболеваниями органов дыхания</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1.3.</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Обследование больных с заболеваниями сердечно-сосудистой системы</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1.4.</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Перкуссия сердца</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1.5.</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Аускультация сердца</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1.6.</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Модуль 1. (контрольная работа по темам 1.1 – 1.5.)</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Раздел 2.</w:t>
            </w:r>
          </w:p>
        </w:tc>
        <w:tc>
          <w:tcPr>
            <w:tcW w:w="6165" w:type="dxa"/>
            <w:gridSpan w:val="4"/>
            <w:shd w:val="clear" w:color="auto" w:fill="auto"/>
            <w:textDirection w:val="lrTb"/>
            <w:vAlign w:val="top"/>
          </w:tcPr>
          <w:p>
            <w:pPr>
              <w:spacing w:after="0"/>
              <w:wordWrap w:val="1"/>
              <w:jc w:val="both"/>
            </w:pP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2.1.</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Обследование больных с заболеваниями органов пищеварения</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2.2.</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Перкуторное определение границ печени и селезёнки. Обследование больных с заболеваниями органов мочеотделения</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2.3.</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Модуль 2 (контрольная работа по темам 2.1 – 2.2)</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Раздел 3.</w:t>
            </w:r>
          </w:p>
        </w:tc>
        <w:tc>
          <w:tcPr>
            <w:tcW w:w="6165" w:type="dxa"/>
            <w:gridSpan w:val="4"/>
            <w:shd w:val="clear" w:color="auto" w:fill="auto"/>
            <w:textDirection w:val="lrTb"/>
            <w:vAlign w:val="top"/>
          </w:tcPr>
          <w:p>
            <w:pPr>
              <w:spacing w:after="0"/>
              <w:wordWrap w:val="1"/>
              <w:jc w:val="both"/>
            </w:pP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3.1.</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ЭКГ-исследование сердца. Гипертрофия отделов сердца. Нарушения внутрижелудочко-вой проводимости</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3.2.</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ЭКГ-исследование сердца. Синоаурикулярные блокады. Атриовентрикуляр-ные блокады. Нарушения ритма</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3.3.</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ЭКГ при ишемической болезни сердца</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3.4.</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Модуль 4 (контрольная работа по темам 4.1 – 4.3.)</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Раздел 4.</w:t>
            </w:r>
          </w:p>
        </w:tc>
        <w:tc>
          <w:tcPr>
            <w:tcW w:w="6165" w:type="dxa"/>
            <w:gridSpan w:val="4"/>
            <w:shd w:val="clear" w:color="auto" w:fill="auto"/>
            <w:textDirection w:val="lrTb"/>
            <w:vAlign w:val="top"/>
          </w:tcPr>
          <w:p>
            <w:pPr>
              <w:spacing w:after="0"/>
              <w:wordWrap w:val="1"/>
              <w:jc w:val="both"/>
            </w:pP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4.1.</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Основные клинические синдромы при заболеваниях органов дыхания</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4.2.</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Артериальные гипертензии. Атеросклероз. ИБС.</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4.3.</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Ревматизм. Приобретённые пороки сердца</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4.4.</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Модуль 4 (контрольная работа по темам 5.1 – 5.3.)</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Раздел 5.</w:t>
            </w:r>
          </w:p>
        </w:tc>
        <w:tc>
          <w:tcPr>
            <w:tcW w:w="6165" w:type="dxa"/>
            <w:gridSpan w:val="4"/>
            <w:shd w:val="clear" w:color="auto" w:fill="auto"/>
            <w:textDirection w:val="lrTb"/>
            <w:vAlign w:val="top"/>
          </w:tcPr>
          <w:p>
            <w:pPr>
              <w:spacing w:after="0"/>
              <w:wordWrap w:val="1"/>
              <w:jc w:val="both"/>
            </w:pP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5.1.</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Курация больного. Написание истории болезни (Модуль 6)</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Раздел 6.</w:t>
            </w:r>
          </w:p>
        </w:tc>
        <w:tc>
          <w:tcPr>
            <w:tcW w:w="6165" w:type="dxa"/>
            <w:gridSpan w:val="4"/>
            <w:shd w:val="clear" w:color="auto" w:fill="auto"/>
            <w:textDirection w:val="lrTb"/>
            <w:vAlign w:val="top"/>
          </w:tcPr>
          <w:p>
            <w:pPr>
              <w:spacing w:after="0"/>
              <w:wordWrap w:val="1"/>
              <w:jc w:val="both"/>
            </w:pP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ОПК-1,ОПК-4,ОПК-5,ПК-13,ПК-3,УК-4</w:t>
            </w:r>
          </w:p>
        </w:tc>
      </w:tr>
      <w:tr>
        <w:trPr>
          <w:cantSplit/>
          <w:trHeight w:val="0" w:hRule="auto"/>
        </w:trPr>
        <w:tc>
          <w:tcPr>
            <w:tcW w:w="22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Тема 6.1.</w:t>
            </w:r>
          </w:p>
        </w:tc>
        <w:tc>
          <w:tcPr>
            <w:tcW w:w="6165" w:type="dxa"/>
            <w:gridSpan w:val="4"/>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0"/>
                <w:szCs w:val="20"/>
              </w:rPr>
              <w:t>Сдача практических умений. Разбор историй болезни. Разбор 50 результирующих тестов</w:t>
            </w:r>
          </w:p>
        </w:tc>
        <w:tc>
          <w:tcPr>
            <w:tcW w:w="250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sz w:val="20"/>
                <w:szCs w:val="20"/>
              </w:rPr>
              <w:t>ОПК-1,ОПК-4,ОПК-5,ПК-13,ПК-3,УК-4</w:t>
            </w:r>
          </w:p>
        </w:tc>
      </w:tr>
      <w:p>
        <w:r>
          <w:br w:type="page"/>
        </w:r>
      </w:p>
    </w:tbl>
    <w:tbl>
      <w:tblPr>
        <w:tblStyle w:val="TableStyle18"/>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5. Перечень учебно-методического обеспечения для самостоятельной работы</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обучающихся по дисциплине (модулю)</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19"/>
        <w:tblW w:w="5000" w:type="pct"/>
        <w:tblLayout w:type="fixed"/>
        <w:tblCellMar>
          <w:left w:w="0" w:type="dxa"/>
          <w:right w:w="0" w:type="dxa"/>
        </w:tblCellMar>
        <w:tblLook w:val="04A0"/>
      </w:tblPr>
      <w:tblGrid>
        <w:gridCol w:w="150"/>
        <w:gridCol w:w="225"/>
        <w:gridCol w:w="135"/>
        <w:gridCol w:w="210"/>
        <w:gridCol w:w="135"/>
        <w:gridCol w:w="210"/>
        <w:gridCol w:w="120"/>
        <w:gridCol w:w="120"/>
        <w:gridCol w:w="15"/>
        <w:gridCol w:w="345"/>
        <w:gridCol w:w="705"/>
        <w:gridCol w:w="720"/>
        <w:gridCol w:w="720"/>
        <w:gridCol w:w="1500"/>
        <w:gridCol w:w="1905"/>
        <w:gridCol w:w="2445"/>
        <w:gridCol w:w="1215"/>
      </w:tblGrid>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 п/п</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4"/>
                <w:szCs w:val="24"/>
              </w:rPr>
              <w:t>Наименования</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Дистанционный курс на образовательном портале КГМУ «Пропедевтика внутренних болезней для специальности «Педиатрия»/ Авторы дистанционного курса: д.м.н., профессор В.Н. Ослопов; д.м.н., профессор Н.Р. Хасанов; д.м.н., профессор О.В. Булашова; к.м.н., доцент А.Р. Садыкова; к.м.н., доцент О.В. Богоявленская; к.м.н., доцент И.М. Каримов; к.м.н., доцент М.А. Макаров; к.м.н., доцент Е.В. Хазова;  к.м.н. А.Р. Шамкина; к.м.н. М.И. Малкова</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2</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 учеб.-метод. пособие для обуч. по спец. 31.05.02 Педиатрия / Казан. гос. мед. ун-т, Каф. пропедевтики внутр. болезней им. проф. С. С. Зимницкого ; [сост. Н. Р. Хасанов и др.]. - Электрон. текстовые дан. (1,29 МБ). - Казань : КГМУ, 2018. - 201 с.</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3</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Особенности физикального исследования больных с транспозицией внутренних органов (situs inversus viscerum) [Текст] : учеб.-метод. пособие для студентов мед. вузов / Казан. гос. мед. ун-т М-ва здравоохранения России, Каф. пропедевтики внутрен. болезней ; [сост.: Д. Н. Чугунова, В. Н. Ослопов]. - Казань : КГМУ, 2013. - 44 с.</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4</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История болезни терапевтического больного [Текст] : [учеб. пособие] / В. Н. Ослопов, О. В. Богоявленская, Ю. В. Ослопова. - 2-е изд., испр. и доп. - Москва : МЕДпресс-информ, 2013. - 149, [3] с.</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5</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История болезни терапевтического больного [Текст] : учеб. пособие / В. Н. Ослопов, О. В. Богоявленская, Ю. В. Ослопова. - 3-е изд., перераб. и доп. - Москва : МЕДпресс-информ, 2016. - 166 с.</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6</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Исследование печени [Электронный ресурс] : мультимед. учеб. пособие для студентов / А. Р. Садыкова, А. Р. Шамкина, З. Ф. Галяутдинова ; Казан. гос. мед. ун-т М-ва здравоохранения Рос. Федерации, Каф. пропедевтики внутренних болезней. - Казань : КГМУ, 2013. - 1 эл. опт. диск (DVD-ROM)</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7</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Пальпация области сердца [Электронный ресурс] : учеб. пособие для студентов мед. вузов об основах пальпации грудной клетки / В. Н. Ослопов, Н. Р. Хасанов, Е. Н. Иванцов ; Казан. гос. мед. ун-т М-ва здравоохранения Рос. Федерации, Каф. пропедевтики внутренних болезней. - Казань : КГМУ, 2013. - 1 эл. опт. диск (CD-ROM).</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8</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Пальпация грудной клетки  [Электронный ресурс] / В. Н. Ослопов, Н. Р. Хасанов, Е. Н. Иванцов ; Казан. гос. мед. ун-т М-ва здравоохранения Рос. Федерации, Каф. пропедевтики внутренних болезней. - Казань : КГМУ, 2013. - 1 эл. опт. диск (CD-ROM)</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9</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Исследование артериального пульса [Электронный ресурс] : мультимед. учеб. пос. для студентов / В. Н. Ослопов, Ю. В. Ослопова, М. Д. Шевелёв ; Казан. гос. мед. ун-т, Каф. пропедевтики внутренних болезней. - Казань : КГМУ, 2013. - 1 эл. опт. диск (DVD-ROM)</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10</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Измерение артериального давления [Электронный ресурс] : мультимед. учеб. пособие для студентов / В. Н. Ослопов, Ю. В. Ослопова, М. Д. Шевелёв ; Казан. гос. мед. ун-т, Каф. пропедевтики внутренних болезней. - Казань : КГМУ, 2013. - 1 эл. опт. диск (CD-ROM)</w:t>
            </w:r>
          </w:p>
        </w:tc>
      </w:tr>
      <w:tr>
        <w:trPr>
          <w:cantSplit/>
          <w:trHeight w:val="0" w:hRule="auto"/>
        </w:trPr>
        <w:tc>
          <w:tcPr>
            <w:tcW w:w="1305" w:type="dxa"/>
            <w:gridSpan w:val="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4"/>
                <w:szCs w:val="24"/>
              </w:rPr>
              <w:t>11</w:t>
            </w:r>
          </w:p>
        </w:tc>
        <w:tc>
          <w:tcPr>
            <w:tcW w:w="9570" w:type="dxa"/>
            <w:gridSpan w:val="9"/>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Исследование селезенки [Электронный ресурс] : мультимед. учеб. пособие для студентов / А. Р. Шамкина, А. Р. Садыкова, З. Ф. Галяутдинова ; Казан. гос. мед. ун-т М-ва здравоохранения Рос. Федерации, Каф. пропедевтики внутренних болезней. - Казань : КГМУ, 2013. - 1 эл. опт. диск (DVD-ROM)</w:t>
            </w:r>
          </w:p>
        </w:tc>
      </w:tr>
      <w:p>
        <w:r>
          <w:br w:type="page"/>
        </w:r>
      </w:p>
    </w:tbl>
    <w:tbl>
      <w:tblPr>
        <w:tblStyle w:val="TableStyle20"/>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6. Фонд оценочных средств для проведения промежуточной аттестации</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обучающихся по дисциплине</w:t>
            </w:r>
          </w:p>
        </w:tc>
      </w:tr>
      <w:tr>
        <w:trPr>
          <w:cantSplit/>
          <w:trHeight w:val="0" w:hRule="auto"/>
        </w:trPr>
        <w:tc>
          <w:tcPr>
            <w:tcW w:w="3315" w:type="dxa"/>
            <w:gridSpan w:val="11"/>
            <w:shd w:val="clear" w:color="auto" w:fill="auto"/>
            <w:textDirection w:val="lrTb"/>
            <w:vAlign w:val="bottom"/>
          </w:tcPr>
          <w:p>
            <w:pPr>
              <w:spacing w:after="0"/>
              <w:jc w:val="center"/>
            </w:pPr>
          </w:p>
        </w:tc>
        <w:tc>
          <w:tcPr>
            <w:tcW w:w="2715" w:type="dxa"/>
            <w:gridSpan w:val="13"/>
            <w:shd w:val="clear" w:color="auto" w:fill="auto"/>
            <w:textDirection w:val="lrTb"/>
            <w:vAlign w:val="bottom"/>
          </w:tcPr>
          <w:p>
            <w:pPr>
              <w:spacing w:after="0"/>
              <w:jc w:val="center"/>
            </w:pPr>
          </w:p>
        </w:tc>
        <w:tc>
          <w:tcPr>
            <w:tcW w:w="1125" w:type="dxa"/>
            <w:gridSpan w:val="9"/>
            <w:shd w:val="clear" w:color="auto" w:fill="auto"/>
            <w:textDirection w:val="lrTb"/>
            <w:vAlign w:val="bottom"/>
          </w:tcPr>
          <w:p>
            <w:pPr>
              <w:spacing w:after="0"/>
              <w:jc w:val="center"/>
            </w:pPr>
          </w:p>
        </w:tc>
        <w:tc>
          <w:tcPr>
            <w:tcW w:w="1305" w:type="dxa"/>
            <w:gridSpan w:val="8"/>
            <w:shd w:val="clear" w:color="auto" w:fill="auto"/>
            <w:textDirection w:val="lrTb"/>
            <w:vAlign w:val="bottom"/>
          </w:tcPr>
          <w:p>
            <w:pPr>
              <w:spacing w:after="0"/>
              <w:jc w:val="center"/>
            </w:pPr>
          </w:p>
        </w:tc>
        <w:tc>
          <w:tcPr>
            <w:tcW w:w="1455" w:type="dxa"/>
            <w:gridSpan w:val="6"/>
            <w:shd w:val="clear" w:color="auto" w:fill="auto"/>
            <w:textDirection w:val="lrTb"/>
            <w:vAlign w:val="bottom"/>
          </w:tcPr>
          <w:p>
            <w:pPr>
              <w:spacing w:after="0"/>
              <w:jc w:val="center"/>
            </w:pPr>
          </w:p>
        </w:tc>
        <w:tc>
          <w:tcPr>
            <w:tcW w:w="960" w:type="dxa"/>
            <w:gridSpan w:val="5"/>
            <w:shd w:val="clear" w:color="auto" w:fill="auto"/>
            <w:textDirection w:val="lrTb"/>
            <w:vAlign w:val="bottom"/>
          </w:tcPr>
          <w:p>
            <w:pPr>
              <w:spacing w:after="0"/>
              <w:jc w:val="center"/>
            </w:pPr>
          </w:p>
        </w:tc>
      </w:tr>
      <w:tr>
        <w:trPr>
          <w:cantSplit/>
          <w:trHeight w:val="0" w:hRule="auto"/>
        </w:trPr>
        <w:tc>
          <w:tcPr>
            <w:tcW w:w="3315" w:type="dxa"/>
            <w:gridSpan w:val="11"/>
            <w:shd w:val="clear" w:color="auto" w:fill="auto"/>
            <w:textDirection w:val="lrTb"/>
            <w:vAlign w:val="bottom"/>
          </w:tcPr>
          <w:p>
            <w:pPr>
              <w:spacing w:after="0"/>
              <w:jc w:val="center"/>
            </w:pPr>
          </w:p>
        </w:tc>
        <w:tc>
          <w:tcPr>
            <w:tcW w:w="2715" w:type="dxa"/>
            <w:gridSpan w:val="13"/>
            <w:shd w:val="clear" w:color="auto" w:fill="auto"/>
            <w:textDirection w:val="lrTb"/>
            <w:vAlign w:val="bottom"/>
          </w:tcPr>
          <w:p>
            <w:pPr>
              <w:spacing w:after="0"/>
              <w:jc w:val="center"/>
            </w:pPr>
          </w:p>
        </w:tc>
        <w:tc>
          <w:tcPr>
            <w:tcW w:w="1125" w:type="dxa"/>
            <w:gridSpan w:val="9"/>
            <w:shd w:val="clear" w:color="auto" w:fill="auto"/>
            <w:textDirection w:val="lrTb"/>
            <w:vAlign w:val="bottom"/>
          </w:tcPr>
          <w:p>
            <w:pPr>
              <w:spacing w:after="0"/>
              <w:jc w:val="center"/>
            </w:pPr>
          </w:p>
        </w:tc>
        <w:tc>
          <w:tcPr>
            <w:tcW w:w="1305" w:type="dxa"/>
            <w:gridSpan w:val="8"/>
            <w:shd w:val="clear" w:color="auto" w:fill="auto"/>
            <w:textDirection w:val="lrTb"/>
            <w:vAlign w:val="bottom"/>
          </w:tcPr>
          <w:p>
            <w:pPr>
              <w:spacing w:after="0"/>
              <w:jc w:val="center"/>
            </w:pPr>
          </w:p>
        </w:tc>
        <w:tc>
          <w:tcPr>
            <w:tcW w:w="1455" w:type="dxa"/>
            <w:gridSpan w:val="6"/>
            <w:shd w:val="clear" w:color="auto" w:fill="auto"/>
            <w:textDirection w:val="lrTb"/>
            <w:vAlign w:val="bottom"/>
          </w:tcPr>
          <w:p>
            <w:pPr>
              <w:spacing w:after="0"/>
              <w:jc w:val="center"/>
            </w:pPr>
          </w:p>
        </w:tc>
        <w:tc>
          <w:tcPr>
            <w:tcW w:w="960" w:type="dxa"/>
            <w:gridSpan w:val="5"/>
            <w:shd w:val="clear" w:color="auto" w:fill="auto"/>
            <w:textDirection w:val="lrTb"/>
            <w:vAlign w:val="bottom"/>
          </w:tcPr>
          <w:p>
            <w:pPr>
              <w:spacing w:after="0"/>
              <w:jc w:val="center"/>
            </w:pP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6.1 Перечень компетенций с указанием этапов их формирования в</w:t>
            </w: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процессе освоения образовательной программы</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21"/>
        <w:tblW w:w="5000" w:type="pct"/>
        <w:tblLayout w:type="fixed"/>
        <w:tblCellMar>
          <w:left w:w="0" w:type="dxa"/>
          <w:right w:w="0" w:type="dxa"/>
        </w:tblCellMar>
        <w:tblLook w:val="04A0"/>
      </w:tblPr>
      <w:tblGrid>
        <w:gridCol w:w="615"/>
        <w:gridCol w:w="465"/>
        <w:gridCol w:w="1410"/>
        <w:gridCol w:w="2925"/>
        <w:gridCol w:w="1575"/>
        <w:gridCol w:w="1230"/>
        <w:gridCol w:w="1215"/>
        <w:gridCol w:w="1230"/>
        <w:gridCol w:w="1215"/>
        <w:gridCol w:w="1215"/>
        <w:gridCol w:w="1230"/>
      </w:tblGrid>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center"/>
          </w:tcPr>
          <w:p>
            <w:pPr>
              <w:spacing w:after="0"/>
              <w:jc w:val="center"/>
            </w:pPr>
            <w:r>
              <w:rPr>
                <w:rFonts w:ascii="Times New Roman" w:hAnsi="Times New Roman"/>
                <w:b/>
                <w:sz w:val="20"/>
                <w:szCs w:val="20"/>
              </w:rPr>
              <w:t>№</w:t>
            </w:r>
          </w:p>
        </w:tc>
        <w:tc>
          <w:tcPr>
            <w:tcW w:w="4335" w:type="dxa"/>
            <w:gridSpan w:val="2"/>
            <w:tcBorders>
              <w:top w:val="single" w:sz="5" w:space="0" w:color="auto"/>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0"/>
                <w:szCs w:val="20"/>
              </w:rPr>
              <w:t>Перечень разделов</w:t>
            </w:r>
          </w:p>
        </w:tc>
        <w:tc>
          <w:tcPr>
            <w:tcW w:w="1575" w:type="dxa"/>
            <w:tcBorders>
              <w:top w:val="single" w:sz="5" w:space="0" w:color="auto"/>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0"/>
                <w:szCs w:val="20"/>
              </w:rPr>
              <w:t>Тип занятия</w:t>
            </w:r>
          </w:p>
        </w:tc>
        <w:tc>
          <w:tcPr>
            <w:tcW w:w="7335" w:type="dxa"/>
            <w:gridSpan w:val="6"/>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Перечень компетенций и этапы их формирования</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0"/>
                <w:szCs w:val="20"/>
              </w:rPr>
              <w:t>№</w:t>
            </w:r>
          </w:p>
        </w:tc>
        <w:tc>
          <w:tcPr>
            <w:tcW w:w="4335" w:type="dxa"/>
            <w:gridSpan w:val="2"/>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0"/>
                <w:szCs w:val="20"/>
              </w:rPr>
              <w:t>и тем</w:t>
            </w:r>
          </w:p>
        </w:tc>
        <w:tc>
          <w:tcPr>
            <w:tcW w:w="1575" w:type="dxa"/>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20"/>
                <w:szCs w:val="20"/>
              </w:rPr>
              <w:t>(Л, П, С)</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ОПК-1</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ОПК-4</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ОПК-5</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ПК-13</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ПК-3</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20"/>
                <w:szCs w:val="20"/>
              </w:rPr>
              <w:t>УК-4</w:t>
            </w:r>
          </w:p>
        </w:tc>
      </w:tr>
      <w:tr>
        <w:trPr>
          <w:cantSplit/>
          <w:trHeight w:val="0" w:hRule="auto"/>
        </w:trPr>
        <w:tc>
          <w:tcPr>
            <w:tcW w:w="13095" w:type="dxa"/>
            <w:gridSpan w:val="1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Раздел 1.</w:t>
            </w:r>
          </w:p>
        </w:tc>
        <w:tc>
          <w:tcPr>
            <w:tcW w:w="1230" w:type="dxa"/>
            <w:tcBorders>
              <w:top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1.1.</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Схема истории болезни. Анамнез. Общий осмотр</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Схема истории болезни. Анамнез. Общий осмотр</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Схема истории болезни. Анамнез. Общий осмотр</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1.2.</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Обследование больных с заболеваниями органов дыхания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Обследование больных с заболеваниями органов дыхания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Обследование больных с заболеваниями органов дыхания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1.3.</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Обследование больных с заболеваниями сердечно-сосудистой системы</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Обследование больных с заболеваниями сердечно-сосудистой системы</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Обследование больных с заболеваниями сердечно-сосудистой системы</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1.4.</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Перкуссия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1.4.</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Перкуссия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1.4.</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Перкуссия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1.5.</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Аускультация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1.5.</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Аускультация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1.5.</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Аускультация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1.6.</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Модуль 1. (контрольная работа по темам 1.1 – 1.5.)</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1.6.</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1. (контрольная работа по темам 1.1 – 1.5.)</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1.6.</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1. (контрольная работа по темам 1.1 – 1.5.)</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3095" w:type="dxa"/>
            <w:gridSpan w:val="1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Раздел 2.</w:t>
            </w:r>
          </w:p>
        </w:tc>
        <w:tc>
          <w:tcPr>
            <w:tcW w:w="1230" w:type="dxa"/>
            <w:tcBorders>
              <w:top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2.1.</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Обследование больных с заболеваниями органов пищеварения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2.1.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Обследование больных с заболеваниями органов пищеварения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2.1.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Обследование больных с заболеваниями органов пищеварения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2.2.</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Перкуторное определение границ печени и селезёнки. Обследование больных с заболеваниями органов мочеотделения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2.2.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Перкуторное определение границ печени и селезёнки. Обследование больных с заболеваниями органов мочеотделения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2.2.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Перкуторное определение границ печени и селезёнки. Обследование больных с заболеваниями органов мочеотделения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2.3.</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Модуль 2 (контрольная работа по темам 2.1 – 2.2)</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2.3.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2 (контрольная работа по темам 2.1 – 2.2)</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2.3.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2 (контрольная работа по темам 2.1 – 2.2)</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3095" w:type="dxa"/>
            <w:gridSpan w:val="1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Раздел 3.</w:t>
            </w:r>
          </w:p>
        </w:tc>
        <w:tc>
          <w:tcPr>
            <w:tcW w:w="1230" w:type="dxa"/>
            <w:tcBorders>
              <w:top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3.1.</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ЭКГ-исследование сердца. Гипертрофия отделов сердца. Нарушения внутрижелудочко-вой проводимости</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ЭКГ-исследование сердца. Гипертрофия отделов сердца. Нарушения внутрижелудочко-вой проводимости</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ЭКГ-исследование сердца. Гипертрофия отделов сердца. Нарушения внутрижелудочко-вой проводимости</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3.2.</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ЭКГ-исследование сердца. Синоаурикулярные блокады. Атриовентрикуляр-ные блокады. Нарушения ритма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ЭКГ-исследование сердца. Синоаурикулярные блокады. Атриовентрикуляр-ные блокады. Нарушения ритма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ЭКГ-исследование сердца. Синоаурикулярные блокады. Атриовентрикуляр-ные блокады. Нарушения ритма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3.3.</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ЭКГ при ишемической болезни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ЭКГ при ишемической болезни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ЭКГ при ишемической болезни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3.4.</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Модуль 4 (контрольная работа по темам 4.1 – 4.3.)</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3.4.</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4 (контрольная работа по темам 4.1 – 4.3.)</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3.4.</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4 (контрольная работа по темам 4.1 – 4.3.)</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3095" w:type="dxa"/>
            <w:gridSpan w:val="1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Раздел 4.</w:t>
            </w:r>
          </w:p>
        </w:tc>
        <w:tc>
          <w:tcPr>
            <w:tcW w:w="1230" w:type="dxa"/>
            <w:tcBorders>
              <w:top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4.1.</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Основные клинические синдромы при заболеваниях органов дыхания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Основные клинические синдромы при заболеваниях органов дыхания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Основные клинические синдромы при заболеваниях органов дыхания</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4.2.</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Артериальные гипертензии. Атеросклероз. ИБС.</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Артериальные гипертензии. Атеросклероз. ИБС.</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4.2.</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Артериальные гипертензии. Атеросклероз. ИБС.</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4.3.</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Ревматизм. Приобретённые пороки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Ревматизм. Приобретённые пороки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4.3.</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Ревматизм. Приобретённые пороки сердца</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4.4.</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Модуль 4 (контрольная работа по темам 5.1 – 5.3.)</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4.4.</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4 (контрольная работа по темам 5.1 – 5.3.)</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4.4.</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Модуль 4 (контрольная работа по темам 5.1 – 5.3.)</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3095" w:type="dxa"/>
            <w:gridSpan w:val="1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Раздел 5.</w:t>
            </w:r>
          </w:p>
        </w:tc>
        <w:tc>
          <w:tcPr>
            <w:tcW w:w="1230" w:type="dxa"/>
            <w:tcBorders>
              <w:top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5.1.</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Курация больного. Написание истории болезни (Модуль 6)</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5.1.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Курация больного. Написание истории болезни (Модуль 6)</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5.1.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Курация больного. Написание истории болезни (Модуль 6)</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3095" w:type="dxa"/>
            <w:gridSpan w:val="10"/>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Раздел 6.</w:t>
            </w:r>
          </w:p>
        </w:tc>
        <w:tc>
          <w:tcPr>
            <w:tcW w:w="1230" w:type="dxa"/>
            <w:tcBorders>
              <w:top w:val="single" w:sz="5" w:space="0" w:color="auto"/>
              <w:bottom w:val="single" w:sz="5" w:space="0" w:color="auto"/>
              <w:right w:val="single" w:sz="5" w:space="0" w:color="auto"/>
            </w:tcBorders>
            <w:shd w:val="clear" w:color="auto" w:fill="auto"/>
            <w:textDirection w:val="lrTb"/>
            <w:vAlign w:val="bottom"/>
          </w:tcPr>
          <w:p>
            <w:pPr>
              <w:spacing w:after="0"/>
              <w:wordWrap w:val="1"/>
              <w:jc w:val="left"/>
            </w:pPr>
          </w:p>
        </w:tc>
      </w:tr>
      <w:tr>
        <w:trPr>
          <w:cantSplit/>
          <w:trHeight w:val="0" w:hRule="auto"/>
        </w:trPr>
        <w:tc>
          <w:tcPr>
            <w:tcW w:w="1080"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left"/>
            </w:pPr>
            <w:r>
              <w:rPr>
                <w:rFonts w:ascii="Times New Roman" w:hAnsi="Times New Roman"/>
                <w:b/>
                <w:sz w:val="20"/>
                <w:szCs w:val="20"/>
              </w:rPr>
              <w:t>Тема 6.1.</w:t>
            </w:r>
          </w:p>
        </w:tc>
        <w:tc>
          <w:tcPr>
            <w:tcW w:w="4335" w:type="dxa"/>
            <w:gridSpan w:val="2"/>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20"/>
                <w:szCs w:val="20"/>
              </w:rPr>
              <w:t>Сдача практических умений. Разбор историй болезни. Разбор 50 результирующих тестов</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Лекция</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6.1.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Сдача практических умений. Разбор историй болезни. Разбор 50 результирующих тестов</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Практическое занятие</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r>
        <w:trPr>
          <w:cantSplit/>
          <w:trHeight w:val="0" w:hRule="auto"/>
        </w:trPr>
        <w:tc>
          <w:tcPr>
            <w:tcW w:w="1080"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b/>
                <w:sz w:val="20"/>
                <w:szCs w:val="20"/>
              </w:rPr>
              <w:t>Тема 6.1.</w:t>
            </w:r>
          </w:p>
        </w:tc>
        <w:tc>
          <w:tcPr>
            <w:tcW w:w="4335" w:type="dxa"/>
            <w:gridSpan w:val="2"/>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20"/>
                <w:szCs w:val="20"/>
              </w:rPr>
              <w:t>Сдача практических умений. Разбор историй болезни. Разбор 50 результирующих тестов</w:t>
            </w:r>
          </w:p>
        </w:tc>
        <w:tc>
          <w:tcPr>
            <w:tcW w:w="157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0"/>
                <w:szCs w:val="20"/>
              </w:rPr>
              <w:t>Самостоятельная работа</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15"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c>
          <w:tcPr>
            <w:tcW w:w="123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sz w:val="20"/>
                <w:szCs w:val="20"/>
              </w:rPr>
              <w:t>+</w:t>
            </w:r>
          </w:p>
        </w:tc>
      </w:tr>
    </w:tbl>
    <w:tbl>
      <w:tblPr>
        <w:tblStyle w:val="TableStyle22"/>
        <w:tblW w:w="5000" w:type="pct"/>
        <w:tblLayout w:type="fixed"/>
        <w:tblCellMar>
          <w:left w:w="0" w:type="dxa"/>
          <w:right w:w="0" w:type="dxa"/>
        </w:tblCellMar>
        <w:tblLook w:val="04A0"/>
      </w:tblPr>
      <w:tblGrid>
        <w:gridCol w:w="1095"/>
        <w:gridCol w:w="645"/>
        <w:gridCol w:w="210"/>
        <w:gridCol w:w="105"/>
        <w:gridCol w:w="105"/>
        <w:gridCol w:w="210"/>
        <w:gridCol w:w="405"/>
        <w:gridCol w:w="855"/>
        <w:gridCol w:w="210"/>
        <w:gridCol w:w="105"/>
        <w:gridCol w:w="105"/>
        <w:gridCol w:w="75"/>
        <w:gridCol w:w="90"/>
        <w:gridCol w:w="180"/>
        <w:gridCol w:w="705"/>
        <w:gridCol w:w="360"/>
        <w:gridCol w:w="180"/>
        <w:gridCol w:w="90"/>
        <w:gridCol w:w="105"/>
        <w:gridCol w:w="75"/>
        <w:gridCol w:w="90"/>
        <w:gridCol w:w="315"/>
        <w:gridCol w:w="825"/>
        <w:gridCol w:w="90"/>
        <w:gridCol w:w="45"/>
        <w:gridCol w:w="45"/>
        <w:gridCol w:w="90"/>
        <w:gridCol w:w="195"/>
        <w:gridCol w:w="960"/>
        <w:gridCol w:w="180"/>
        <w:gridCol w:w="90"/>
        <w:gridCol w:w="45"/>
        <w:gridCol w:w="60"/>
        <w:gridCol w:w="45"/>
        <w:gridCol w:w="75"/>
        <w:gridCol w:w="120"/>
        <w:gridCol w:w="720"/>
        <w:gridCol w:w="465"/>
        <w:gridCol w:w="120"/>
        <w:gridCol w:w="75"/>
        <w:gridCol w:w="60"/>
        <w:gridCol w:w="60"/>
        <w:gridCol w:w="90"/>
        <w:gridCol w:w="510"/>
        <w:gridCol w:w="930"/>
        <w:gridCol w:w="105"/>
        <w:gridCol w:w="270"/>
        <w:gridCol w:w="930"/>
        <w:gridCol w:w="240"/>
        <w:gridCol w:w="120"/>
        <w:gridCol w:w="45"/>
        <w:gridCol w:w="75"/>
      </w:tblGrid>
      <w:tr>
        <w:trPr>
          <w:cantSplit/>
          <w:trHeight w:val="0" w:hRule="auto"/>
        </w:trPr>
        <w:tc>
          <w:tcPr>
            <w:tcW w:w="4050" w:type="dxa"/>
            <w:gridSpan w:val="11"/>
            <w:shd w:val="clear" w:color="auto" w:fill="auto"/>
            <w:textDirection w:val="lrTb"/>
            <w:vAlign w:val="bottom"/>
          </w:tcPr>
          <w:p>
            <w:pPr>
              <w:spacing w:after="0"/>
              <w:jc w:val="left"/>
            </w:pPr>
          </w:p>
        </w:tc>
        <w:tc>
          <w:tcPr>
            <w:tcW w:w="3180" w:type="dxa"/>
            <w:gridSpan w:val="13"/>
            <w:shd w:val="clear" w:color="auto" w:fill="auto"/>
            <w:textDirection w:val="lrTb"/>
            <w:vAlign w:val="bottom"/>
          </w:tcPr>
          <w:p>
            <w:pPr>
              <w:spacing w:after="0"/>
              <w:jc w:val="left"/>
            </w:pPr>
          </w:p>
        </w:tc>
        <w:tc>
          <w:tcPr>
            <w:tcW w:w="1710" w:type="dxa"/>
            <w:gridSpan w:val="9"/>
            <w:shd w:val="clear" w:color="auto" w:fill="auto"/>
            <w:textDirection w:val="lrTb"/>
            <w:vAlign w:val="bottom"/>
          </w:tcPr>
          <w:p>
            <w:pPr>
              <w:spacing w:after="0"/>
              <w:jc w:val="left"/>
            </w:pPr>
          </w:p>
        </w:tc>
        <w:tc>
          <w:tcPr>
            <w:tcW w:w="1680" w:type="dxa"/>
            <w:gridSpan w:val="8"/>
            <w:shd w:val="clear" w:color="auto" w:fill="auto"/>
            <w:textDirection w:val="lrTb"/>
            <w:vAlign w:val="bottom"/>
          </w:tcPr>
          <w:p>
            <w:pPr>
              <w:spacing w:after="0"/>
              <w:jc w:val="left"/>
            </w:pPr>
          </w:p>
        </w:tc>
        <w:tc>
          <w:tcPr>
            <w:tcW w:w="1965" w:type="dxa"/>
            <w:gridSpan w:val="6"/>
            <w:shd w:val="clear" w:color="auto" w:fill="auto"/>
            <w:textDirection w:val="lrTb"/>
            <w:vAlign w:val="bottom"/>
          </w:tcPr>
          <w:p>
            <w:pPr>
              <w:spacing w:after="0"/>
              <w:jc w:val="left"/>
            </w:pPr>
          </w:p>
        </w:tc>
        <w:tc>
          <w:tcPr>
            <w:tcW w:w="1410" w:type="dxa"/>
            <w:gridSpan w:val="5"/>
            <w:shd w:val="clear" w:color="auto" w:fill="auto"/>
            <w:textDirection w:val="lrTb"/>
            <w:vAlign w:val="bottom"/>
          </w:tcPr>
          <w:p>
            <w:pPr>
              <w:spacing w:after="0"/>
              <w:jc w:val="left"/>
            </w:pPr>
          </w:p>
        </w:tc>
      </w:tr>
      <w:tr>
        <w:trPr>
          <w:cantSplit/>
          <w:trHeight w:val="0" w:hRule="auto"/>
        </w:trPr>
        <w:tc>
          <w:tcPr>
            <w:tcW w:w="4050" w:type="dxa"/>
            <w:gridSpan w:val="11"/>
            <w:shd w:val="clear" w:color="auto" w:fill="auto"/>
            <w:textDirection w:val="lrTb"/>
            <w:vAlign w:val="bottom"/>
          </w:tcPr>
          <w:p>
            <w:pPr>
              <w:spacing w:after="0"/>
              <w:jc w:val="center"/>
            </w:pPr>
          </w:p>
        </w:tc>
        <w:tc>
          <w:tcPr>
            <w:tcW w:w="3180" w:type="dxa"/>
            <w:gridSpan w:val="13"/>
            <w:shd w:val="clear" w:color="auto" w:fill="auto"/>
            <w:textDirection w:val="lrTb"/>
            <w:vAlign w:val="bottom"/>
          </w:tcPr>
          <w:p>
            <w:pPr>
              <w:spacing w:after="0"/>
              <w:jc w:val="left"/>
            </w:pPr>
          </w:p>
        </w:tc>
        <w:tc>
          <w:tcPr>
            <w:tcW w:w="1710" w:type="dxa"/>
            <w:gridSpan w:val="9"/>
            <w:shd w:val="clear" w:color="auto" w:fill="auto"/>
            <w:textDirection w:val="lrTb"/>
            <w:vAlign w:val="bottom"/>
          </w:tcPr>
          <w:p>
            <w:pPr>
              <w:spacing w:after="0"/>
              <w:jc w:val="left"/>
            </w:pPr>
          </w:p>
        </w:tc>
        <w:tc>
          <w:tcPr>
            <w:tcW w:w="1680" w:type="dxa"/>
            <w:gridSpan w:val="8"/>
            <w:shd w:val="clear" w:color="auto" w:fill="auto"/>
            <w:textDirection w:val="lrTb"/>
            <w:vAlign w:val="bottom"/>
          </w:tcPr>
          <w:p>
            <w:pPr>
              <w:spacing w:after="0"/>
              <w:jc w:val="left"/>
            </w:pPr>
          </w:p>
        </w:tc>
        <w:tc>
          <w:tcPr>
            <w:tcW w:w="1965" w:type="dxa"/>
            <w:gridSpan w:val="6"/>
            <w:shd w:val="clear" w:color="auto" w:fill="auto"/>
            <w:textDirection w:val="lrTb"/>
            <w:vAlign w:val="bottom"/>
          </w:tcPr>
          <w:p>
            <w:pPr>
              <w:spacing w:after="0"/>
              <w:jc w:val="left"/>
            </w:pPr>
          </w:p>
        </w:tc>
        <w:tc>
          <w:tcPr>
            <w:tcW w:w="1410" w:type="dxa"/>
            <w:gridSpan w:val="5"/>
            <w:shd w:val="clear" w:color="auto" w:fill="auto"/>
            <w:textDirection w:val="lrTb"/>
            <w:vAlign w:val="bottom"/>
          </w:tcPr>
          <w:p>
            <w:pPr>
              <w:spacing w:after="0"/>
              <w:jc w:val="left"/>
            </w:pPr>
          </w:p>
        </w:tc>
      </w:tr>
      <w:tr>
        <w:trPr>
          <w:cantSplit/>
          <w:trHeight w:val="0" w:hRule="auto"/>
        </w:trPr>
        <w:tc>
          <w:tcPr>
            <w:tcW w:w="13995" w:type="dxa"/>
            <w:gridSpan w:val="52"/>
            <w:shd w:val="clear" w:color="auto" w:fill="auto"/>
            <w:textDirection w:val="lrTb"/>
            <w:vAlign w:val="bottom"/>
          </w:tcPr>
          <w:p>
            <w:pPr>
              <w:spacing w:after="0"/>
              <w:wordWrap w:val="1"/>
              <w:jc w:val="center"/>
            </w:pPr>
            <w:r>
              <w:rPr>
                <w:rFonts w:ascii="Times New Roman" w:hAnsi="Times New Roman"/>
                <w:b/>
                <w:sz w:val="24"/>
                <w:szCs w:val="24"/>
              </w:rPr>
              <w:t>6.2. Описание показателей и критериев оценивания компетенций на различных этапах их формирования</w:t>
            </w:r>
          </w:p>
          <w:p>
            <w:pPr>
              <w:spacing w:after="0"/>
              <w:wordWrap w:val="1"/>
              <w:jc w:val="center"/>
            </w:pPr>
            <w:r>
              <w:rPr>
                <w:rFonts w:ascii="Times New Roman" w:hAnsi="Times New Roman"/>
                <w:b/>
                <w:sz w:val="24"/>
                <w:szCs w:val="24"/>
              </w:rPr>
              <w:t>(описание шкал оценивания)</w:t>
            </w:r>
          </w:p>
        </w:tc>
      </w:tr>
      <w:tr>
        <w:trPr>
          <w:cantSplit/>
          <w:trHeight w:val="0" w:hRule="auto"/>
        </w:trPr>
        <w:tc>
          <w:tcPr>
            <w:tcW w:w="4050" w:type="dxa"/>
            <w:gridSpan w:val="11"/>
            <w:shd w:val="clear" w:color="auto" w:fill="auto"/>
            <w:textDirection w:val="lrTb"/>
            <w:vAlign w:val="bottom"/>
          </w:tcPr>
          <w:p>
            <w:pPr>
              <w:spacing w:after="0"/>
              <w:jc w:val="left"/>
            </w:pPr>
          </w:p>
        </w:tc>
        <w:tc>
          <w:tcPr>
            <w:tcW w:w="3180" w:type="dxa"/>
            <w:gridSpan w:val="13"/>
            <w:shd w:val="clear" w:color="auto" w:fill="auto"/>
            <w:textDirection w:val="lrTb"/>
            <w:vAlign w:val="bottom"/>
          </w:tcPr>
          <w:p>
            <w:pPr>
              <w:spacing w:after="0"/>
              <w:jc w:val="left"/>
            </w:pPr>
          </w:p>
        </w:tc>
        <w:tc>
          <w:tcPr>
            <w:tcW w:w="1710" w:type="dxa"/>
            <w:gridSpan w:val="9"/>
            <w:shd w:val="clear" w:color="auto" w:fill="auto"/>
            <w:textDirection w:val="lrTb"/>
            <w:vAlign w:val="bottom"/>
          </w:tcPr>
          <w:p>
            <w:pPr>
              <w:spacing w:after="0"/>
              <w:jc w:val="left"/>
            </w:pPr>
          </w:p>
        </w:tc>
        <w:tc>
          <w:tcPr>
            <w:tcW w:w="1680" w:type="dxa"/>
            <w:gridSpan w:val="8"/>
            <w:shd w:val="clear" w:color="auto" w:fill="auto"/>
            <w:textDirection w:val="lrTb"/>
            <w:vAlign w:val="bottom"/>
          </w:tcPr>
          <w:p>
            <w:pPr>
              <w:spacing w:after="0"/>
              <w:jc w:val="left"/>
            </w:pPr>
          </w:p>
        </w:tc>
        <w:tc>
          <w:tcPr>
            <w:tcW w:w="1965" w:type="dxa"/>
            <w:gridSpan w:val="6"/>
            <w:shd w:val="clear" w:color="auto" w:fill="auto"/>
            <w:textDirection w:val="lrTb"/>
            <w:vAlign w:val="bottom"/>
          </w:tcPr>
          <w:p>
            <w:pPr>
              <w:spacing w:after="0"/>
              <w:jc w:val="left"/>
            </w:pPr>
          </w:p>
        </w:tc>
        <w:tc>
          <w:tcPr>
            <w:tcW w:w="1410" w:type="dxa"/>
            <w:gridSpan w:val="5"/>
            <w:shd w:val="clear" w:color="auto" w:fill="auto"/>
            <w:textDirection w:val="lrTb"/>
            <w:vAlign w:val="bottom"/>
          </w:tcPr>
          <w:p>
            <w:pPr>
              <w:spacing w:after="0"/>
              <w:jc w:val="left"/>
            </w:pP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Перечень компетенций</w:t>
            </w:r>
          </w:p>
        </w:tc>
        <w:tc>
          <w:tcPr>
            <w:tcW w:w="2100" w:type="dxa"/>
            <w:gridSpan w:val="8"/>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Код и наименование индикатора (индикаторов) достижения (ИД) компетенции</w:t>
            </w:r>
          </w:p>
        </w:tc>
        <w:tc>
          <w:tcPr>
            <w:tcW w:w="1785" w:type="dxa"/>
            <w:gridSpan w:val="8"/>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Планируемые результаты обучения</w:t>
            </w:r>
          </w:p>
        </w:tc>
        <w:tc>
          <w:tcPr>
            <w:tcW w:w="1395" w:type="dxa"/>
            <w:gridSpan w:val="5"/>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Форма оценочных средств</w:t>
            </w:r>
          </w:p>
        </w:tc>
        <w:tc>
          <w:tcPr>
            <w:tcW w:w="6765" w:type="dxa"/>
            <w:gridSpan w:val="28"/>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b/>
                <w:sz w:val="16"/>
                <w:szCs w:val="16"/>
              </w:rPr>
              <w:t>Критерий оценивания результатов обучения (дескрипторы)</w:t>
            </w: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Перечень компетенций</w:t>
            </w:r>
          </w:p>
        </w:tc>
        <w:tc>
          <w:tcPr>
            <w:tcW w:w="2100"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Код и наименование индикатора (индикаторов) достижения (ИД) компетенции</w:t>
            </w:r>
          </w:p>
        </w:tc>
        <w:tc>
          <w:tcPr>
            <w:tcW w:w="178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Планируемые результаты обучения</w:t>
            </w:r>
          </w:p>
        </w:tc>
        <w:tc>
          <w:tcPr>
            <w:tcW w:w="1395" w:type="dxa"/>
            <w:gridSpan w:val="5"/>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Форма оценочных средств</w:t>
            </w:r>
          </w:p>
        </w:tc>
        <w:tc>
          <w:tcPr>
            <w:tcW w:w="1710" w:type="dxa"/>
            <w:gridSpan w:val="9"/>
            <w:tcBorders>
              <w:top w:val="single" w:sz="5" w:space="0" w:color="auto"/>
              <w:left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Результат не достигнут</w:t>
            </w:r>
          </w:p>
        </w:tc>
        <w:tc>
          <w:tcPr>
            <w:tcW w:w="1680" w:type="dxa"/>
            <w:gridSpan w:val="8"/>
            <w:tcBorders>
              <w:top w:val="single" w:sz="5" w:space="0" w:color="auto"/>
              <w:left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Результат минимальный </w:t>
            </w:r>
          </w:p>
        </w:tc>
        <w:tc>
          <w:tcPr>
            <w:tcW w:w="1695" w:type="dxa"/>
            <w:gridSpan w:val="5"/>
            <w:tcBorders>
              <w:top w:val="single" w:sz="5" w:space="0" w:color="auto"/>
              <w:left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Результат средний </w:t>
            </w:r>
          </w:p>
        </w:tc>
        <w:tc>
          <w:tcPr>
            <w:tcW w:w="1680" w:type="dxa"/>
            <w:gridSpan w:val="6"/>
            <w:tcBorders>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Результат высокий </w:t>
            </w: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Перечень компетенций</w:t>
            </w:r>
          </w:p>
        </w:tc>
        <w:tc>
          <w:tcPr>
            <w:tcW w:w="2100"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Код и наименование индикатора (индикаторов) достижения (ИД) компетенции</w:t>
            </w:r>
          </w:p>
        </w:tc>
        <w:tc>
          <w:tcPr>
            <w:tcW w:w="1785" w:type="dxa"/>
            <w:gridSpan w:val="8"/>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Планируемые результаты обучения</w:t>
            </w:r>
          </w:p>
        </w:tc>
        <w:tc>
          <w:tcPr>
            <w:tcW w:w="1395" w:type="dxa"/>
            <w:gridSpan w:val="5"/>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center"/>
            </w:pPr>
            <w:r>
              <w:rPr>
                <w:rFonts w:ascii="Times New Roman" w:hAnsi="Times New Roman"/>
                <w:b/>
                <w:sz w:val="16"/>
                <w:szCs w:val="16"/>
              </w:rPr>
              <w:t>Форма оценочных средств</w:t>
            </w:r>
          </w:p>
        </w:tc>
        <w:tc>
          <w:tcPr>
            <w:tcW w:w="1710" w:type="dxa"/>
            <w:gridSpan w:val="9"/>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(менее 70 баллов)</w:t>
            </w:r>
          </w:p>
        </w:tc>
        <w:tc>
          <w:tcPr>
            <w:tcW w:w="1680" w:type="dxa"/>
            <w:gridSpan w:val="8"/>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(70-79 баллов)</w:t>
            </w:r>
          </w:p>
        </w:tc>
        <w:tc>
          <w:tcPr>
            <w:tcW w:w="1695" w:type="dxa"/>
            <w:gridSpan w:val="5"/>
            <w:tcBorders>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(80-89 баллов)</w:t>
            </w:r>
          </w:p>
        </w:tc>
        <w:tc>
          <w:tcPr>
            <w:tcW w:w="1680" w:type="dxa"/>
            <w:gridSpan w:val="6"/>
            <w:tcBorders>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b/>
                <w:sz w:val="16"/>
                <w:szCs w:val="16"/>
              </w:rPr>
              <w:t>(90-100 баллов)</w:t>
            </w: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ОПК-1 ИОПК-1.1 Соблюдает моральные и правовые основы в профессиональной деятельности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Знать: морально-этические нормы, правила и принципы профессионального врачебного поведения, права пациента и врача, основы законодательства РФ;-основные нормативно-технические документы по охране здоровья взрослого населения.- возможности Internet-ресурсов при решении учебных и профессиональных задач (официальные сайты Минздрава РФ и РТ, Гарант, электронный каталог научной библиотеки  Казанского ГМУ, электронно-библиотечная система Казанского ГМУ, «Консультант студента», «Консультант пл</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на менее 70% всех заданий</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70% или максимум на 79% всех заданий</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80% или максимум на 89% всех заданий</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Правильный ответ дан более чем на 90% всех заданий</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ОПК-1 ИОПК-1.1 Соблюдает моральные и правовые основы в профессиональной деятельности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осуществлять свою деятельность с учётом принятых в обществе моральных и правовых норм; в соответствии с основами законодательства РФ по охране здоровья населения;-применять для ускорения процесса передачи полученной информации дистанционные технологии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ОПК-1 ИОПК-1.1 Соблюдает моральные и правовые основы в профессиональной деятельности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принципами врачебной деонтологии и медицинской этики;-основами законодательства РФ по охране здоровья населения;- навыками поиска необходимой информации посредством Internet-ресурсов, официальных сайтов;-навыками применения дистанционных технологий.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Менее 70%</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полностью, не все уровни задания пройдены, выводы не аргументированы научно, либо задание выполнено не полностью, но представлена попытка обосновать его с альтернативных научных позиций, пройденных в курсе</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достаточно высоком профессиональном уровне. Допущено несколько фактических ошибок. Студент свободно отвечает на вопросы, но не достаточно полно; в целом обладает устойчивыми навыками работы</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ОПК-1 ИОПК-1.2 Соблюдает этические и деонтологические принципы в профессиональной деятельности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этические и деонтологические принципы в профессиональной деятельности, правила и принципы профессионального врачебного поведения, права пациента и врача.- возможности Internet-ресурсов при решении учебных и профессиональных задач (официальные сайты Минздрава РФ и РТ, Гарант, электронный каталог научной библиотеки  Казанского ГМУ, электронно-библиотечная система Казанского ГМУ, «Консультант студента», «Консультант плюс» и др.).</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на менее 70% всех заданий</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70% или максимум на 79% всех заданий</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80% или максимум на 89% всех заданий</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Правильный ответ дан более чем на 90% всех заданий</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ОПК-1 ИОПК-1.2 Соблюдает этические и деонтологические принципы в профессиональной деятельности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соблюдать правила медицинской этики, правила и принципы профессионального врачебного поведения, права пациента и врача.-применять для ускорения процесса передачи полученной информации дистанционные технологии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ОПК-1 ИОПК-1.2 Соблюдает этические и деонтологические принципы в профессиональной деятельности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принципами врачебной деонтологии и медицинской этики в профессиональной деятельности;- навыками поиска необходимой информации посредством Internet-ресурсов, официальных сайтов;-Навыками применения дистанционных технологий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Менее 70%</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полностью, не все уровни задания пройдены, выводы не аргументированы научно, либо задание выполнено не полностью, но представлена попытка обосновать его с альтернативных научных позиций, пройденных в курсе</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достаточно высоком профессиональном уровне. Допущено несколько фактических ошибок. Студент свободно отвечает на вопросы, но не достаточно полно; в целом обладает устойчивыми навыками работы</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ОПК-1 ИОПК-1.3 Решает стандартные задачи в профессиональной деятельности на основе этических норм и деонтологических принципов при взаимодействии с коллегами и пациентами (их законными представителями)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особенности решения стандартных профессиональных задач на основе этических и деонтологических принципов в профессиональной деятельности, в общении с коллегами, другим медицинским персоналом, пациентами и их родственниками, а также с их законными представителями.- возможности Internet-ресурсов при решении учебных и профессиональных задач (официальные сайты Минздрава РФ и РТ, Гарант, электронный каталог научной библиотеки  Казанского ГМУ, электронно-библиотечная система Казанского ГМУ, «Ко</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на менее 70% всех заданий</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70% или максимум на 79% всех заданий</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80% или максимум на 89% всех заданий</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Правильный ответ дан более чем на 90% всех заданий</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ОПК-1 ИОПК-1.3 Решает стандартные задачи в профессиональной деятельности на основе этических норм и деонтологических принципов при взаимодействии с коллегами и пациентами (их законными представителями)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решать стандартные профессиональные задачи на основе этических и деонтологических принципов в профессиональной деятельности, в общении с коллегами, другим медицинским персоналом, пациентами и их родственниками, а также с их законными представителями.-применять для ускорения процесса передачи полученной информации дистанционные технологии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ОПК-1 </w:t>
            </w:r>
          </w:p>
          <w:p>
            <w:pPr>
              <w:spacing w:after="0"/>
              <w:wordWrap w:val="1"/>
              <w:jc w:val="both"/>
            </w:pPr>
            <w:r>
              <w:rPr>
                <w:rFonts w:ascii="Times New Roman" w:hAnsi="Times New Roman"/>
                <w:b/>
                <w:sz w:val="16"/>
                <w:szCs w:val="16"/>
              </w:rPr>
              <w:t xml:space="preserve"> Способен реализовывать моральные и правовые нормы, этические и деонтологические принципы в профессиональной деятельности</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ОПК-1 ИОПК-1.3 Решает стандартные задачи в профессиональной деятельности на основе этических норм и деонтологических принципов при взаимодействии с коллегами и пациентами (их законными представителями)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решения стандартных профессиональных задач на основе этических и деонтологических принципов в профессиональной деятельности, в общении с коллегами, другим медицинским персоналом, пациентами и их родственниками, а также с их законными представителями- навыками поиска необходимой информации посредством Internet-ресурсов, официальных сайтов;-Навыками применения дистанционных технологий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Менее 70%</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полностью, не все уровни задания пройдены, выводы не аргументированы научно, либо задание выполнено не полностью, но представлена попытка обосновать его с альтернативных научных позиций, пройденных в курсе</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достаточно высоком профессиональном уровне. Допущено несколько фактических ошибок. Студент свободно отвечает на вопросы, но не достаточно полно; в целом обладает устойчивыми навыками работы</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ОПК-4 ИОПК-4.1 Использует алгоритм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виды медицинских термометров, правила термометрии,устройство фонендоскопа,виды и принципы работы сфигмоманометров и осциллографических манометровметодику измерения артериального давления по методу Короткова,принцип устройства электрокардиографа, методы и средства лучевой диагностики, принцип и техническое обеспечение метода компьютерной рентгеновской томографии, магнитно-резонансной томографии, радионуклидной диагностики, информативные возможности метода и показания к ег</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на менее 70% всех заданий</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70% или максимум на 79% всех заданий</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80% или максимум на 89% всех заданий</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Правильный ответ дан более чем на 90% всех заданий</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ИОПК-4.1 Использует алгоритм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регистрировать и интерпретировать результаты термометрии,проводить аускультацию,измерять артериальное давление,записать электрокардиограмму,интерпретировать результаты лучевого обследования детей и подростков;подготовить больного к рентгенологическому исследованию,правильно применять защиту в рентгеновских кабинетах.-применять в коммуникационном процессе для ускорения процесса передачи информации дистанционные технологии.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ИОПК-4.1 Использует алгоритм применения и оценки результатов использования медицинских технологий, специализированного оборудования и медицинских изделий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определения вида лихорадки по характер колебаний температуры (по характеру температурной кривой),методом измерения артериального давления,навыками записи электрокардиограммы, навыками определения показаний и противопоказаний к проведению КРТ, радионуклидного исследования, МРТ, эндоскопическому исследованию.навыками поиска информации посредством</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Менее 70%</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полностью, не все уровни задания пройдены, выводы не аргументированы научно, либо задание выполнено не полностью, но представлена попытка обосновать его с альтернативных научных позиций, пройденных в курсе</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достаточно высоком профессиональном уровне. Допущено несколько фактических ошибок. Студент свободно отвечает на вопросы, но не достаточно полно; в целом обладает устойчивыми навыками работы</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ОПК-4 ИОПК-4.2 Применяет методику сбора анамнеза жизни и заболеваний, жалоб у взрослых и детей; методику осмотра и физикального обследования; клиническую картину, методы диагностики наиболее распространенных заболеваний; 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 международную статистическую классификацию болезней и проблем, связанных со здоровьем (МКБ); состояния, треб</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методы диагностики, диагностические возможности методов непосредственного исследования пациента терапевтического профиля, современные методы клинического, лабораторного, инструментального обследования пациентов;диагностические возможности лучевых методов исследования пациента терапевтического профиля, современные методы клинического, лабораторного, инструментального обследования пациентов (включая эндоскопические, рентгенологические методы, ультразвуковую диагностику, РКТ и МРТ, методы</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на менее 70% всех заданий</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70% или максимум на 79% всех заданий</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80% или максимум на 89% всех заданий</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Правильный ответ дан более чем на 90% всех заданий</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ИОПК-4.2 Применяет методику сбора анамнеза жизни и заболеваний, жалоб у взрослых и детей; методику осмотра и физикального обследования; клиническую картину, методы диагностики наиболее распространенных заболеваний; 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 международную статистическую классификацию болезней и проблем, связанных со здоровьем (МКБ); состояния, треб</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определить статус пациента: собрать анамнез, провести опрос пациента и/или его родственников, провести физикальное обследование пациента (осмотр, пальпация, аускультация, измерение артериального давления, определение свойств артериального пульса и т.д.); провести первичное обследование систем и органов;пальпировать основные костные ориентиры, обрисовать топографические  контуры органов;определять и оценивать результаты электрокардиографии;трактовать результаты общего анализа кров</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ИОПК-4.2 Применяет методику сбора анамнеза жизни и заболеваний, жалоб у взрослых и детей; методику осмотра и физикального обследования; клиническую картину, методы диагностики наиболее распространенных заболеваний; методы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 международную статистическую классификацию болезней и проблем, связанных со здоровьем (МКБ); состояния, треб</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общеклинического обследования;навыками интерпретации результатов лабораторных, инструментальных методов диагностики;навыками интерпретации результатов лучевых методов исследования пациентов;-навыками поиска информации посредством электронных ресурсов, официальных сайтов, навыками передачи информации с применением дистанционных технологий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достаточно высоком профессиональном уровне. Допущено несколько фактических ошибок. Студент свободно отвечает на вопросы, но не достаточно полно; в целом обладает устойчивыми навыками работы</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ОПК-4 ИОПК-4.3 Осуществляет сбор жалоб, анамнеза жизни и заболевания у взрослых и детей, выявляет факторы риска и причины развития заболеваний; применяет методы осмотра и физикального обследования; интерпретирует результаты осмотра и физикального обследования; диагностирует наиболее распространенную патологию; выявляет факторы риска онкологических заболеваний; формулирует предварительный диагноз, составляет план проведения лабораторных, инструментальных и дополнительных исследований в соответст</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правила сбора жалоб, анамнеза жизни и заболевания у взрослых и детей, факторы риска и причины развития заболеваний; методы осмотра и физикального обследования; результаты осмотра и физикального обследования; диагностические критерии наиболее распространенных патологий; факторы риска онкологических заболеваний; правила формулировки предварительного диагноза, правила составления плана проведения лабораторных, инструментальных и дополнительных исследований в соответствии с порядками- возмож</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на менее 70% всех заданий</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70% или максимум на 79% всех заданий</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Правильный ответ дан минимум на  80% или максимум на 89% всех заданий</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Правильный ответ дан более чем на 90% всех заданий</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ИОПК-4.3 Осуществляет сбор жалоб, анамнеза жизни и заболевания у взрослых и детей, выявляет факторы риска и причины развития заболеваний; применяет методы осмотра и физикального обследования; интерпретирует результаты осмотра и физикального обследования; диагностирует наиболее распространенную патологию; выявляет факторы риска онкологических заболеваний; формулирует предварительный диагноз, составляет план проведения лабораторных, инструментальных и дополнительных исследований в соответст</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Уметь: осуществлять сбор жалоб, анамнеза жизни и заболевания у взрослых и детей, выявлять факторы риска и причины развития заболеваний; применять методы осмотра и физикального обследования; интерпретировать результаты осмотра и физикального обследования; диагностировать наиболее распространенную патологию; выявлять факторы риска онкологических заболеваний; формулировать предварительный диагноз, составлять план проведения лабораторных, инструментальных и дополнительных исследований в соотв</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ИОПК-4.3 Осуществляет сбор жалоб, анамнеза жизни и заболевания у взрослых и детей, выявляет факторы риска и причины развития заболеваний; применяет методы осмотра и физикального обследования; интерпретирует результаты осмотра и физикального обследования; диагностирует наиболее распространенную патологию; выявляет факторы риска онкологических заболеваний; формулирует предварительный диагноз, составляет план проведения лабораторных, инструментальных и дополнительных исследований в соответст</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сбора жалоб, анамнеза жизни и заболевания у взрослых и детей, выявления факторов риска и причины развития заболеваний; навыками применения методов осмотра и физикального обследования; навыками интерпретирования результатов осмотра и физикального обследования; навыками диагностирования наиболее распространенных патологий; навыками выявления факторов риска онкологических заболеваний; навыками формулировки предварительного диагноза, составления плана проведения лабораторных, инстр</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ОПК-4 ИОПК-4.4 Направляет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интерпретирует и анализирует результаты консультаций врачами-специалистами; интерпретирует и анализирует результаты основных (клинических) и дополнительных (лабораторных, инструментальных) методов обследования; проводит дифференциальную диагност</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правила для направления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критерии интерпретации и анализа результатов консультаций врачами-специалистами и результатов основных (клинических) и дополнительных (лабораторных, инструментальных) методов обследования; критерии дифференциальной диагностики заболеваний;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нет ответа на постав-ленный вопрос или от-вет неверный:  незна-ние соответствующего вопроса, ошибки в формулировке опреде-лений, искажающие их смысл, беспорядочное и неуверенное изложе-ние материала.</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ИОПК-4.4 Направляет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интерпретирует и анализирует результаты консультаций врачами-специалистами; интерпретирует и анализирует результаты основных (клинических) и дополнительных (лабораторных, инструментальных) методов обследования; проводит дифференциальную диагност</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направить в соответствии с показаниями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интерпретировать и анализировать результаты консультаций врачами-специалистами; интерпретировать и анализировать результаты основных (клинических) и дополнительных (лабораторных, инструментальных) методов обследования; проводи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ОПК-4 </w:t>
            </w:r>
          </w:p>
          <w:p>
            <w:pPr>
              <w:spacing w:after="0"/>
              <w:wordWrap w:val="1"/>
              <w:jc w:val="both"/>
            </w:pPr>
            <w:r>
              <w:rPr>
                <w:rFonts w:ascii="Times New Roman" w:hAnsi="Times New Roman"/>
                <w:b/>
                <w:sz w:val="16"/>
                <w:szCs w:val="16"/>
              </w:rPr>
              <w:t xml:space="preserve"> Способен применять медицинские изделия, предусмотренные порядком оказания медицинской помощи, а также проводить обследования пациента с целью...</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ОПК-4 ИОПК-4.4 Направляет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интерпретирует и анализирует результаты консультаций врачами-специалистами; интерпретирует и анализирует результаты основных (клинических) и дополнительных (лабораторных, инструментальных) методов обследования; проводит дифференциальную диагност</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Владеть: навыками направления на лабораторные, инструментальные и дополнительные исследования, на консультации к врачам-специалистам в соответствии с порядками оказания медицинской помощи, клиническими рекомендациями, с учетом стандартов медицинской помощи; -навыками интерпретации и анализа результатов консультаций врачами-специалистами; интерпретации и анализа результатов основных (клинических) и дополнительных (лабораторных, инструментальных) методов обследования; навыками проведения</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ОПК-5 ИОПК-5.1 Определяет и оценивает морфофункциональные, физиологические состояния и патологические процессы организма человека</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методы определения и оценки морфофункционального, физиологического состояния и патологических процессов организма человека;- возможности Internet-ресурсов при решении учебных и профессиональных задач (официальные сайты Минздрава РФ и РТ, электронный каталог научной библиотеки  Казанского ГМУ, электронно-библиотечная система Казанского ГМУ, «Консультант студента», «Консультант плюс» и др.).</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нет ответа на постав-ленный вопрос или от-вет неверный:  незна-ние соответствующего вопроса, ошибки в формулировке опреде-лений, искажающие их смысл, беспорядочное и неуверенное изложе-ние материала.</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ОПК-5 ИОПК-5.1 Определяет и оценивает морфофункциональные, физиологические состояния и патологические процессы организма человека</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определять и оценивать морфофункциональные, физиологические состояния и патологические процессы организма человека;применять в коммуникационном процессе для ускорения процесса передачи информации дистанционные технологии.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ОПК-5 ИОПК-5.1 Определяет и оценивает морфофункциональные, физиологические состояния и патологические процессы организма человека</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определения и оценки  морфофункциональных, физиологических состояний и патологических процессов организма человека;- навыками поиска необходимой информации посредством Internet-ресурсов, официальных сайтов;-Навыками применения дистанционных технологий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ОПК-5 ИОПК-5.2 Применяет алгоритм клинико-лабораторной и функциональной диагностики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алгоритм клинико-лабораторной и функциональной диагностики при решении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нет ответа на постав-ленный вопрос или от-вет неверный:  незна-ние соответствующего вопроса, ошибки в формулировке опреде-лений, искажающие их смысл, беспорядочное и неуверенное изложе-ние материала.</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ОПК-5 ИОПК-5.2 Применяет алгоритм клинико-лабораторной и функциональной диагностики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применять алгоритм клинико-лабораторной и функциональной диагностики при решении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ОПК-5 ИОПК-5.2 Применяет алгоритм клинико-лабораторной и функциональной диагностики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навыком применения алгоритма клинико-лабораторной и функциональной диагностики при решении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ОПК-5 ИОПК-5.3 Оценивает результаты клинико-лабораторной и функциональной диагностики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способы и критерии оценки результатов клинико-лабораторной и функциональной диагностики при решении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нет ответа на постав-ленный вопрос или от-вет неверный:  незна-ние соответствующего вопроса, ошибки в формулировке опреде-лений, искажающие их смысл, беспорядочное и неуверенное изложе-ние материала.</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ОПК-5 ИОПК-5.3 Оценивает результаты клинико-лабораторной и функциональной диагностики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Уметь:оценивать результаты клинико-лабораторной и функциональной диагностики при решении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способен пользоваться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способен пользоваться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Способен пользоваться, но не в полной мере</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ОПК-5 </w:t>
            </w:r>
          </w:p>
          <w:p>
            <w:pPr>
              <w:spacing w:after="0"/>
              <w:wordWrap w:val="1"/>
              <w:jc w:val="both"/>
            </w:pPr>
            <w:r>
              <w:rPr>
                <w:rFonts w:ascii="Times New Roman" w:hAnsi="Times New Roman"/>
                <w:b/>
                <w:sz w:val="16"/>
                <w:szCs w:val="16"/>
              </w:rPr>
              <w:t xml:space="preserve"> Способен оценивать морфофункциональные, физиологические состояния и патологические процессы в организме человека для решения профессиональных...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ОПК-5 ИОПК-5.3 Оценивает результаты клинико-лабораторной и функциональной диагностики при решении профессиональных задач</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оценки результатов клинико-лабораторной и функциональной диагностики при решении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16"/>
                <w:szCs w:val="16"/>
              </w:rPr>
              <w:t>ПК-13 </w:t>
            </w:r>
          </w:p>
          <w:p>
            <w:pPr>
              <w:spacing w:after="0"/>
              <w:wordWrap w:val="1"/>
              <w:jc w:val="both"/>
            </w:pPr>
            <w:r>
              <w:rPr>
                <w:rFonts w:ascii="Times New Roman" w:hAnsi="Times New Roman"/>
                <w:b/>
                <w:sz w:val="16"/>
                <w:szCs w:val="16"/>
              </w:rPr>
              <w:t xml:space="preserve"> Способность к ведению медицинской документации в медицинских организациях</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ПК-13 ИПК-13.1 Соблюдает основные требования в отношении оформления (ведения) медицинской документации в объеме работы, входящих в обязанности врача, в том числе в электронном виде (правила оформления и выдачи документов при направлении на госпитализацию, на санаторно-курортное лечение, на посещение образовательных организаций, при временной утрате трудоспособности и т.п.) с выполнением правил информационной безопасности и сохранения врачебной тайны</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схему истории болезни,правила оформления протокола ЭКГ,правила написания истории болезни.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фрагментарные знания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ПК-13 </w:t>
            </w:r>
          </w:p>
          <w:p>
            <w:pPr>
              <w:spacing w:after="0"/>
              <w:wordWrap w:val="1"/>
              <w:jc w:val="both"/>
            </w:pPr>
            <w:r>
              <w:rPr>
                <w:rFonts w:ascii="Times New Roman" w:hAnsi="Times New Roman"/>
                <w:b/>
                <w:sz w:val="16"/>
                <w:szCs w:val="16"/>
              </w:rPr>
              <w:t xml:space="preserve"> Способность к ведению медицинской документации в медицинских организациях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ПК-13 ИПК-13.1 Соблюдает основные требования в отношении оформления (ведения) медицинской документации в объеме работы, входящих в обязанности врача, в том числе в электронном виде (правила оформления и выдачи документов при направлении на госпитализацию, на санаторно-курортное лечение, на посещение образовательных организаций, при временной утрате трудоспособности и т.п.) с выполнением правил информационной безопасности и сохранения врачебной тайны</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оформлять протокол исследования ЭКГ,оформлять историю болезни.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ПК-13 </w:t>
            </w:r>
          </w:p>
          <w:p>
            <w:pPr>
              <w:spacing w:after="0"/>
              <w:wordWrap w:val="1"/>
              <w:jc w:val="both"/>
            </w:pPr>
            <w:r>
              <w:rPr>
                <w:rFonts w:ascii="Times New Roman" w:hAnsi="Times New Roman"/>
                <w:b/>
                <w:sz w:val="16"/>
                <w:szCs w:val="16"/>
              </w:rPr>
              <w:t xml:space="preserve"> Способность к ведению медицинской документации в медицинских организациях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ПК-13 ИПК-13.1 Соблюдает основные требования в отношении оформления (ведения) медицинской документации в объеме работы, входящих в обязанности врача, в том числе в электронном виде (правила оформления и выдачи документов при направлении на госпитализацию, на санаторно-курортное лечение, на посещение образовательных организаций, при временной утрате трудоспособности и т.п.) с выполнением правил информационной безопасности и сохранения врачебной тайны</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оформления протокола ЭКГ,навыками написания медицинской карты пациента (истории болезни).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низком уровне. Допущено несколько фактических ошибок. Ответы обнаруживают непонимание предмета и отсутствие ориентации в материале</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полностью, не все уровни задания пройдены, выводы не аргументированы научно, либо задание выполнено не полностью, но представлена попытка обосновать его с альтернативных научных позиций, пройденных в курсе</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Задание выполнено на достаточно высоком профессиональном уровне. Допущено несколько фактических ошибок. Студент свободно отвечает на вопросы, но не достаточно полно; в целом обладает устойчивыми навыками работы</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ПК-13 </w:t>
            </w:r>
          </w:p>
          <w:p>
            <w:pPr>
              <w:spacing w:after="0"/>
              <w:wordWrap w:val="1"/>
              <w:jc w:val="both"/>
            </w:pPr>
            <w:r>
              <w:rPr>
                <w:rFonts w:ascii="Times New Roman" w:hAnsi="Times New Roman"/>
                <w:b/>
                <w:sz w:val="16"/>
                <w:szCs w:val="16"/>
              </w:rPr>
              <w:t xml:space="preserve"> Способность к ведению медицинской документации в медицинских организациях</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ПК-13 ИПК-13.2 Применяет навыки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правила и способы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 возможности Internet-ресурсов при решении учебных и профессиональных задач (официальные сайты Минздрава РФ и РТ, электронный каталог научной библиотеки  Казанского ГМУ, электронно-библиотечная система Казанско</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фрагментарные знания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ПК-13 </w:t>
            </w:r>
          </w:p>
          <w:p>
            <w:pPr>
              <w:spacing w:after="0"/>
              <w:wordWrap w:val="1"/>
              <w:jc w:val="both"/>
            </w:pPr>
            <w:r>
              <w:rPr>
                <w:rFonts w:ascii="Times New Roman" w:hAnsi="Times New Roman"/>
                <w:b/>
                <w:sz w:val="16"/>
                <w:szCs w:val="16"/>
              </w:rPr>
              <w:t xml:space="preserve"> Способность к ведению медицинской документации в медицинских организациях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ПК-13 ИПК-13.2 Применяет навыки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Уметь: вести медицинскую учетно-отчетную документацию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т.п.);-Применять для ускорения процесса передачи, обработки и интерпретации полученной информации программные продукты</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ПК-13 </w:t>
            </w:r>
          </w:p>
          <w:p>
            <w:pPr>
              <w:spacing w:after="0"/>
              <w:wordWrap w:val="1"/>
              <w:jc w:val="both"/>
            </w:pPr>
            <w:r>
              <w:rPr>
                <w:rFonts w:ascii="Times New Roman" w:hAnsi="Times New Roman"/>
                <w:b/>
                <w:sz w:val="16"/>
                <w:szCs w:val="16"/>
              </w:rPr>
              <w:t xml:space="preserve"> Способность к ведению медицинской документации в медицинских организациях</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ПК-13 ИПК-13.2 Применяет навыки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ведения медицинской учетно-отчетной документации в медицинских организациях, в том числе в электронном виде в объеме работы, входящей в обязанности врача (ведение истории болезни, амбулаторной карты, составление дифференцированного плана ведения пациента и т.п.);- навыками поиска необходимой информации посредством Internet-ресурсов, официальных сайтов;-навыками применения программных продуктов</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16"/>
                <w:szCs w:val="16"/>
              </w:rPr>
              <w:t>ПК-3 </w:t>
            </w:r>
          </w:p>
          <w:p>
            <w:pPr>
              <w:spacing w:after="0"/>
              <w:wordWrap w:val="1"/>
              <w:jc w:val="both"/>
            </w:pPr>
            <w:r>
              <w:rPr>
                <w:rFonts w:ascii="Times New Roman" w:hAnsi="Times New Roman"/>
                <w:b/>
                <w:sz w:val="16"/>
                <w:szCs w:val="16"/>
              </w:rPr>
              <w:t xml:space="preserve">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ПК-3 ИПК-3.1 Использует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фрагментарные знания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ПК-3 </w:t>
            </w:r>
          </w:p>
          <w:p>
            <w:pPr>
              <w:spacing w:after="0"/>
              <w:wordWrap w:val="1"/>
              <w:jc w:val="both"/>
            </w:pPr>
            <w:r>
              <w:rPr>
                <w:rFonts w:ascii="Times New Roman" w:hAnsi="Times New Roman"/>
                <w:b/>
                <w:sz w:val="16"/>
                <w:szCs w:val="16"/>
              </w:rPr>
              <w:t xml:space="preserve">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ПК-3 ИПК-3.1 Использует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использовать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много фактических ошибок</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Допущено несколько фактических ошибок; в целом успешно</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Допущена одна фактическая ошибка; в целом успешно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ПК-3 </w:t>
            </w:r>
          </w:p>
          <w:p>
            <w:pPr>
              <w:spacing w:after="0"/>
              <w:wordWrap w:val="1"/>
              <w:jc w:val="both"/>
            </w:pPr>
            <w:r>
              <w:rPr>
                <w:rFonts w:ascii="Times New Roman" w:hAnsi="Times New Roman"/>
                <w:b/>
                <w:sz w:val="16"/>
                <w:szCs w:val="16"/>
              </w:rPr>
              <w:t xml:space="preserve">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ПК-3 ИПК-3.1 Использует правила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использования правил сбора жалоб, анамнеза, технику проведения объективного исследования, нормы и патологию лабораторно-инструментальных и иных методов исследования</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ПК-3 </w:t>
            </w:r>
          </w:p>
          <w:p>
            <w:pPr>
              <w:spacing w:after="0"/>
              <w:wordWrap w:val="1"/>
              <w:jc w:val="both"/>
            </w:pPr>
            <w:r>
              <w:rPr>
                <w:rFonts w:ascii="Times New Roman" w:hAnsi="Times New Roman"/>
                <w:b/>
                <w:sz w:val="16"/>
                <w:szCs w:val="16"/>
              </w:rPr>
              <w:t xml:space="preserve">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ПК-3 ИПК-3.2 Использует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фрагментарные знания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ПК-3 </w:t>
            </w:r>
          </w:p>
          <w:p>
            <w:pPr>
              <w:spacing w:after="0"/>
              <w:wordWrap w:val="1"/>
              <w:jc w:val="both"/>
            </w:pPr>
            <w:r>
              <w:rPr>
                <w:rFonts w:ascii="Times New Roman" w:hAnsi="Times New Roman"/>
                <w:b/>
                <w:sz w:val="16"/>
                <w:szCs w:val="16"/>
              </w:rPr>
              <w:t xml:space="preserve">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ПК-3 ИПК-3.2 Использует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применять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способен пользоваться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способен пользоваться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Способен пользоваться, но не в полной мере</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ПК-3 </w:t>
            </w:r>
          </w:p>
          <w:p>
            <w:pPr>
              <w:spacing w:after="0"/>
              <w:wordWrap w:val="1"/>
              <w:jc w:val="both"/>
            </w:pPr>
            <w:r>
              <w:rPr>
                <w:rFonts w:ascii="Times New Roman" w:hAnsi="Times New Roman"/>
                <w:b/>
                <w:sz w:val="16"/>
                <w:szCs w:val="16"/>
              </w:rPr>
              <w:t xml:space="preserve"> Готовность к сбору информации, в том числе от детей и их родителей (жалоб, данных анамнеза, результатов осмотра детей, лабораторно-инструмента...</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ПК-3 ИПК-3.2 Использует приемы и технологии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использования приемов и технологий проведения опроса и интерпретации полученной информации по анамнезу, физикальному осмотру, клиническому обследованию, результатам лабораторно-инструментальных  и иных исследований для постановки диагноза</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b/>
                <w:sz w:val="16"/>
                <w:szCs w:val="16"/>
              </w:rPr>
              <w:t>УК-4 </w:t>
            </w:r>
          </w:p>
          <w:p>
            <w:pPr>
              <w:spacing w:after="0"/>
              <w:wordWrap w:val="1"/>
              <w:jc w:val="both"/>
            </w:pPr>
            <w:r>
              <w:rPr>
                <w:rFonts w:ascii="Times New Roman" w:hAnsi="Times New Roman"/>
                <w:b/>
                <w:sz w:val="16"/>
                <w:szCs w:val="16"/>
              </w:rPr>
              <w:t xml:space="preserve">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УК-4 ИУК-4.1 Выбирает и использует наиболее эффективные для академического и профессионального взаимодействия вербальные и невербальные средства коммуникации, эффективно ведет диалог с партнером, высказывает и обосновывает мнения (суждения) и запрашивает мнения партнера с соблюдением общепринятых норм общения</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иностранный язык на уровне профессионального общения и письменного перевода; основную медицинскую терминологию; основные грамматические правила, характерные для профессиональной медицинской речи;-наиболее эффективные для академического и профессионального взаимодействия вербальные и невербальные средства коммуникации, способы эффективного ведения диалога с партнером, высказывания и обосновывания мнения (суждения) и запроса мнения партнера с соблюдением общепринятых норм общения; -возможн</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фрагментарные знания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УК-4 </w:t>
            </w:r>
          </w:p>
          <w:p>
            <w:pPr>
              <w:spacing w:after="0"/>
              <w:wordWrap w:val="1"/>
              <w:jc w:val="both"/>
            </w:pPr>
            <w:r>
              <w:rPr>
                <w:rFonts w:ascii="Times New Roman" w:hAnsi="Times New Roman"/>
                <w:b/>
                <w:sz w:val="16"/>
                <w:szCs w:val="16"/>
              </w:rPr>
              <w:t xml:space="preserve">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УК-4 ИУК-4.1 Выбирает и использует наиболее эффективные для академического и профессионального взаимодействия вербальные и невербальные средства коммуникации, эффективно ведет диалог с партнером, высказывает и обосновывает мнения (суждения) и запрашивает мнения партнера с соблюдением общепринятых норм общения</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выбирать и использовать наиболее эффективные для академического и профессионального взаимодействия вербальные и невербальные средства коммуникации, -эффективно вести диалог с партнером, высказывать и обосновывать мнение (суждения) и запрашивать мнение партнера с соблюдением общепринятых норм общения;-документировать деятельность с применением программных продуктов;осуществлять обмен информацией с применением интернет-систем, дистанционных технологий</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способен пользоваться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способен пользоваться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Способен пользоваться, но не в полной мере</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УК-4 </w:t>
            </w:r>
          </w:p>
          <w:p>
            <w:pPr>
              <w:spacing w:after="0"/>
              <w:wordWrap w:val="1"/>
              <w:jc w:val="both"/>
            </w:pPr>
            <w:r>
              <w:rPr>
                <w:rFonts w:ascii="Times New Roman" w:hAnsi="Times New Roman"/>
                <w:b/>
                <w:sz w:val="16"/>
                <w:szCs w:val="16"/>
              </w:rPr>
              <w:t xml:space="preserve">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УК-4 ИУК-4.1 Выбирает и использует наиболее эффективные для академического и профессионального взаимодействия вербальные и невербальные средства коммуникации, эффективно ведет диалог с партнером, высказывает и обосновывает мнения (суждения) и запрашивает мнения партнера с соблюдением общепринятых норм общения</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Владеть: навыками выбора и использования наиболее эффективных для академического и профессионального взаимодействия вербальных и невербальных средств коммуникации, -навыками эффективного ведения диалога с партнером,-навыками высказывания и обосновывания мнения (суждения) и запроса мнения партнера с соблюдением общепринятых норм общения;-навыками документирования деятельности с применением программных продуктов;навыками осуществления обмена информацией с применением системы, дистанци</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УК-4 </w:t>
            </w:r>
          </w:p>
          <w:p>
            <w:pPr>
              <w:spacing w:after="0"/>
              <w:wordWrap w:val="1"/>
              <w:jc w:val="both"/>
            </w:pPr>
            <w:r>
              <w:rPr>
                <w:rFonts w:ascii="Times New Roman" w:hAnsi="Times New Roman"/>
                <w:b/>
                <w:sz w:val="16"/>
                <w:szCs w:val="16"/>
              </w:rPr>
              <w:t xml:space="preserve">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100" w:type="dxa"/>
            <w:gridSpan w:val="8"/>
            <w:vMerge w:val="restart"/>
            <w:tcBorders>
              <w:top w:val="single" w:sz="5" w:space="0" w:color="auto"/>
              <w:left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b/>
                <w:sz w:val="16"/>
                <w:szCs w:val="16"/>
              </w:rPr>
              <w:t>УК-4 ИУК-4.2 Соблюдает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Знать: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технологии;-возможности Internet-ресурсов (официальные сайты Минздрава РФ и РТ, электронно-библиотечная система Казанского ГМУ, «Консультант плюс», «Консультант студента», Гарант,) и программных продуктов при решении учебных и профессиональных задач.</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фрагментарные знания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общие, но не структурированные знания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Имеет сформированные, но содержащие отдельные пробелы знания</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Имеет сформированные систематические знания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УК-4 </w:t>
            </w:r>
          </w:p>
          <w:p>
            <w:pPr>
              <w:spacing w:after="0"/>
              <w:wordWrap w:val="1"/>
              <w:jc w:val="both"/>
            </w:pPr>
            <w:r>
              <w:rPr>
                <w:rFonts w:ascii="Times New Roman" w:hAnsi="Times New Roman"/>
                <w:b/>
                <w:sz w:val="16"/>
                <w:szCs w:val="16"/>
              </w:rPr>
              <w:t xml:space="preserve">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УК-4 ИУК-4.2 Соблюдает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Уметь: вести диалогическую и монологическую речь с использованием лексико- грамматических средств в основных коммуникативных ситуациях неофициального и официального общения,расшифровывать аббревиатуры, символы, формулы и др. с аналогами в родном языке;компенсировать недостаток в предметных, языковых и деловых знаниях с помощью справочных материалов, в том числе использованием словарей;документировать деятельность с применением программных продуктов;осуществлять обмен информацией с применение</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способен пользоваться</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способен пользоваться</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Способен пользоваться, но не в полной мере</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Способен пользоваться</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r>
        <w:trPr>
          <w:cantSplit/>
          <w:trHeight w:val="0" w:hRule="auto"/>
        </w:trPr>
        <w:tc>
          <w:tcPr>
            <w:tcW w:w="1950" w:type="dxa"/>
            <w:gridSpan w:val="3"/>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b/>
                <w:sz w:val="16"/>
                <w:szCs w:val="16"/>
              </w:rPr>
              <w:t>УК-4 </w:t>
            </w:r>
          </w:p>
          <w:p>
            <w:pPr>
              <w:spacing w:after="0"/>
              <w:wordWrap w:val="1"/>
              <w:jc w:val="both"/>
            </w:pPr>
            <w:r>
              <w:rPr>
                <w:rFonts w:ascii="Times New Roman" w:hAnsi="Times New Roman"/>
                <w:b/>
                <w:sz w:val="16"/>
                <w:szCs w:val="16"/>
              </w:rPr>
              <w:t xml:space="preserve"> Способен применять современные коммуникативные технологии, в том числе на иностранном(ых) языке(ах), для академического и профессионального вз...</w:t>
            </w:r>
          </w:p>
        </w:tc>
        <w:tc>
          <w:tcPr>
            <w:tcW w:w="2100" w:type="dxa"/>
            <w:gridSpan w:val="8"/>
            <w:vMerge w:val="continue"/>
            <w:tcBorders>
              <w:top w:val="single" w:sz="5" w:space="0" w:color="auto"/>
              <w:left w:val="single" w:sz="5" w:space="0" w:color="auto"/>
              <w:bottom w:val="single" w:sz="5" w:space="0" w:color="auto"/>
            </w:tcBorders>
            <w:shd w:val="clear" w:color="auto" w:fill="auto"/>
            <w:textDirection w:val="lrTb"/>
            <w:vAlign w:val="bottom"/>
          </w:tcPr>
          <w:p>
            <w:pPr>
              <w:spacing w:after="0"/>
              <w:wordWrap w:val="1"/>
              <w:jc w:val="left"/>
            </w:pPr>
            <w:r>
              <w:rPr>
                <w:rFonts w:ascii="Times New Roman" w:hAnsi="Times New Roman"/>
                <w:b/>
                <w:sz w:val="16"/>
                <w:szCs w:val="16"/>
              </w:rPr>
              <w:t>УК-4 ИУК-4.2 Соблюдает нормы публичной речи, регламент в монологе и дискуссии, письменно излагает требуемую информацию, использует современные информационные и коммуникационные средства и технологии</w:t>
            </w: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605" w:type="dxa"/>
            <w:gridSpan w:val="6"/>
            <w:tcBorders>
              <w:top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Владеть: навыками публичных деловых и научных коммуникаций в медицинской среде;навыками работы со словарем для чтения и понимания текстов в т.ч. и по узкому профилю специальности;основными грамматическими навыками для ведения переписки в сфере медицинской деятельности и оформления медицинской документации;навыками речевого общения с целью использования их в профессиональных дискуссиях, конференциях, переговорах, интервью и других видах речевой деятельности;-навыками работы с поисковыми систе</w:t>
            </w:r>
          </w:p>
        </w:tc>
        <w:tc>
          <w:tcPr>
            <w:tcW w:w="105" w:type="dxa"/>
            <w:tcBorders>
              <w:bottom w:val="single" w:sz="5" w:space="0" w:color="auto"/>
            </w:tcBorders>
            <w:shd w:val="clear" w:color="auto" w:fill="auto"/>
            <w:textDirection w:val="lrTb"/>
            <w:vAlign w:val="bottom"/>
          </w:tcPr>
          <w:p>
            <w:pPr>
              <w:spacing w:after="0"/>
              <w:jc w:val="left"/>
            </w:pPr>
          </w:p>
        </w:tc>
        <w:tc>
          <w:tcPr>
            <w:tcW w:w="7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2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контрольная работа, презентации, реферат, тестирование, устный опрос</w:t>
            </w:r>
          </w:p>
        </w:tc>
        <w:tc>
          <w:tcPr>
            <w:tcW w:w="90" w:type="dxa"/>
            <w:tcBorders>
              <w:top w:val="single" w:sz="5" w:space="0" w:color="auto"/>
              <w:bottom w:val="single" w:sz="5" w:space="0" w:color="auto"/>
            </w:tcBorders>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45" w:type="dxa"/>
            <w:tcBorders>
              <w:top w:val="single" w:sz="5" w:space="0" w:color="auto"/>
              <w:bottom w:val="single" w:sz="5" w:space="0" w:color="auto"/>
            </w:tcBorders>
            <w:shd w:val="clear" w:color="auto" w:fill="auto"/>
            <w:textDirection w:val="lrTb"/>
            <w:vAlign w:val="bottom"/>
          </w:tcPr>
          <w:p>
            <w:pPr>
              <w:spacing w:after="0"/>
              <w:jc w:val="left"/>
            </w:pPr>
          </w:p>
        </w:tc>
        <w:tc>
          <w:tcPr>
            <w:tcW w:w="1560"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Не владеет методами</w:t>
            </w:r>
          </w:p>
        </w:tc>
        <w:tc>
          <w:tcPr>
            <w:tcW w:w="60" w:type="dxa"/>
            <w:shd w:val="clear" w:color="auto" w:fill="auto"/>
            <w:textDirection w:val="lrTb"/>
            <w:vAlign w:val="bottom"/>
          </w:tcPr>
          <w:p>
            <w:pPr>
              <w:spacing w:after="0"/>
              <w:jc w:val="left"/>
            </w:pPr>
          </w:p>
        </w:tc>
        <w:tc>
          <w:tcPr>
            <w:tcW w:w="45"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75" w:type="dxa"/>
            <w:gridSpan w:val="6"/>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Частично владеет методами</w:t>
            </w:r>
          </w:p>
        </w:tc>
        <w:tc>
          <w:tcPr>
            <w:tcW w:w="60" w:type="dxa"/>
            <w:tcBorders>
              <w:top w:val="single" w:sz="5" w:space="0" w:color="auto"/>
              <w:bottom w:val="single" w:sz="5" w:space="0" w:color="auto"/>
            </w:tcBorders>
            <w:shd w:val="clear" w:color="auto" w:fill="auto"/>
            <w:textDirection w:val="lrTb"/>
            <w:vAlign w:val="bottom"/>
          </w:tcPr>
          <w:p>
            <w:pPr>
              <w:spacing w:after="0"/>
              <w:jc w:val="left"/>
            </w:pPr>
          </w:p>
        </w:tc>
        <w:tc>
          <w:tcPr>
            <w:tcW w:w="60" w:type="dxa"/>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p>
        </w:tc>
        <w:tc>
          <w:tcPr>
            <w:tcW w:w="1530" w:type="dxa"/>
            <w:gridSpan w:val="3"/>
            <w:tcBorders>
              <w:top w:val="single" w:sz="5" w:space="0" w:color="auto"/>
              <w:bottom w:val="single" w:sz="5" w:space="0" w:color="auto"/>
            </w:tcBorders>
            <w:shd w:val="clear" w:color="auto" w:fill="auto"/>
            <w:textDirection w:val="lrTb"/>
            <w:vAlign w:val="top"/>
          </w:tcPr>
          <w:p>
            <w:pPr>
              <w:spacing w:after="0"/>
              <w:wordWrap w:val="1"/>
              <w:jc w:val="left"/>
            </w:pPr>
            <w:r>
              <w:rPr>
                <w:rFonts w:ascii="Times New Roman" w:hAnsi="Times New Roman"/>
                <w:sz w:val="16"/>
                <w:szCs w:val="16"/>
              </w:rPr>
              <w:t>Владеет методами, но не достаточно уверенно</w:t>
            </w:r>
          </w:p>
        </w:tc>
        <w:tc>
          <w:tcPr>
            <w:tcW w:w="10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c>
          <w:tcPr>
            <w:tcW w:w="1605" w:type="dxa"/>
            <w:gridSpan w:val="5"/>
            <w:tcBorders>
              <w:top w:val="single" w:sz="5" w:space="0" w:color="auto"/>
              <w:left w:val="single" w:sz="5" w:space="0" w:color="auto"/>
              <w:bottom w:val="single" w:sz="5" w:space="0" w:color="auto"/>
            </w:tcBorders>
            <w:shd w:val="clear" w:color="auto" w:fill="auto"/>
            <w:textDirection w:val="lrTb"/>
            <w:vAlign w:val="top"/>
          </w:tcPr>
          <w:p>
            <w:pPr>
              <w:spacing w:after="0"/>
              <w:wordWrap w:val="1"/>
              <w:jc w:val="both"/>
            </w:pPr>
            <w:r>
              <w:rPr>
                <w:rFonts w:ascii="Times New Roman" w:hAnsi="Times New Roman"/>
                <w:sz w:val="16"/>
                <w:szCs w:val="16"/>
              </w:rPr>
              <w:t>Задание выполнено на высоком профессиональном уровне. Представленный материал в основном фактически верен, допускаются негрубые фактические неточности. Студент свободно отвечает на вопросы, допускаются негрубые фактические неточности; успешно и систематически применяет развитые навыки работы</w:t>
            </w:r>
          </w:p>
        </w:tc>
        <w:tc>
          <w:tcPr>
            <w:tcW w:w="75" w:type="dxa"/>
            <w:tcBorders>
              <w:top w:val="single" w:sz="5" w:space="0" w:color="auto"/>
              <w:bottom w:val="single" w:sz="5" w:space="0" w:color="auto"/>
              <w:right w:val="single" w:sz="5" w:space="0" w:color="auto"/>
            </w:tcBorders>
            <w:shd w:val="clear" w:color="auto" w:fill="auto"/>
            <w:textDirection w:val="lrTb"/>
            <w:vAlign w:val="bottom"/>
          </w:tcPr>
          <w:p>
            <w:pPr>
              <w:spacing w:after="0"/>
              <w:jc w:val="left"/>
            </w:pPr>
          </w:p>
        </w:tc>
      </w:tr>
    </w:tbl>
    <w:tbl>
      <w:tblPr>
        <w:tblStyle w:val="TableStyle23"/>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6.3.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1 уровень – оценка знаний</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Для оценивания результатов обучения в виде знаний используются следующие типы контроля: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тест;</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заданий:1. Кто впервые ввел  метод опроса в схему клинического исследования?А. Ланг Г.Ф.Б. Мудров М.Я.В. Боткин С.П.Г. ГиппократД. Эйнтховен2.Детализация жалоб – это:А. Сопоставление жалоб больного с  результатами инструментального обследования больногоБ. Сопоставление жалоб больного с данными лабораторного исследования больногоВ. Подробная характеристика жалобГ. Обсуждаемый с больным круг вопросов в  рамках  информированного согласия больногоД. Выявление главных и второстепенных жалоб3. К основным жалобам относят жалобы, которые:А. Выясняют после расспроса родственников больногоБ. Свойственны сопутствующему заболеваниюВ. Наиболее типичны для данного заболеванияГ. Выясняют после ответа больного на дополнительные вопросыД. Возникли раньше других4. На какие две важнейшие составляющие разделяются все методы обследования больного?А. Практические и теоретическиеБ. Субъективные и объективныеВ. Субъективные и инструментальныеГ. Объективные и физикальныеД. Лабораторные и инструментальные5. Каким образом необходимо завершать раздел «история настоящего заболевания»?А. Описанием препаратов, которые больной принимал в амбулаторных условияхБ. Описанием настоящего ухудшения состояния больногоВ. Описанием последней госпитализацииГ. Описанием отношения больного к своему заболеваниюД. Описанием вредных привычекОтветы:1   2   3   4   5Б   В   В   Б   Б</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shd w:val="clear" w:color="auto" w:fill="auto"/>
            <w:textDirection w:val="lrTb"/>
            <w:vAlign w:val="bottom"/>
          </w:tcPr>
          <w:p>
            <w:pPr>
              <w:spacing w:after="0"/>
              <w:jc w:val="left"/>
            </w:pPr>
            <w:r>
              <w:rPr>
                <w:rFonts w:ascii="Times New Roman" w:hAnsi="Times New Roman"/>
                <w:i/>
                <w:sz w:val="24"/>
                <w:szCs w:val="24"/>
              </w:rPr>
              <w:t>Критерии оценки:</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оценки:90-100% - оценка «отлично»80-89% - оценка «хорошо»70-79% - оценка «удовлетворительно»Менее 70% правильных ответов – оценка «неудовлетворительно».</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устный опрос;</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заданий:Тема 1.3. Общий (наружный) осмотр больного1.  К какому методу исследования относится общий осмотр?2.  Перечислите критерии, необходимые для определения состояния больного.3.  Перечислите виды лихорадки по степени повышения температуры тела.4.  Приведите варианты вынужденного положения больного. При каких заболеваниях они встречаются?5. Назовите примеры выражения лица при различных заболеваниях.6. Что можно выявить при осмотре шеи?7.Что входит в понятие «антропометрия»?.....................................................................Тема 1.4. Обследование больных с заболеваниями органов дыхания1. Каковы основные жалобы больных с заболеваниями органов системы дыхания?2. Что подразумевается под инспираторной одышкой?3. При каких заболеваниях возникает инспираторная одышка?4. Что означает термин «экспираторная одышка»?5. Каков патогенез экспираторной одышки?6. Что означает термин «рефлекторный кашель»?7. Каков патогенез образования «ржавой» мокроты при крупозной пневмонии?......................................................................Тема 1.8. Перкуссия и аускультация сердца в норме1. Что такое относительная тупость сердца? О чем она дает представление?2. Чем образован правый контур относительной тупости сердца и сосудистого пучка?3. Что такое абсолютная тупость сердца?4. Каким отделом сердца образована правая граница абсолютной тупости сердца?5. Что входит в состав сосудистого пучка? Опишите методику перкуторного определения границ сосудистого пучка. Какова ширина сосудистого пучка в норме?6. Каковы условия и правила аускультации сердца?7. Что такое тоны сердца? Сколько тонов сердца выслушивается у здоровых людей?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shd w:val="clear" w:color="auto" w:fill="auto"/>
            <w:textDirection w:val="lrTb"/>
            <w:vAlign w:val="bottom"/>
          </w:tcPr>
          <w:p>
            <w:pPr>
              <w:spacing w:after="0"/>
              <w:jc w:val="left"/>
            </w:pPr>
            <w:r>
              <w:rPr>
                <w:rFonts w:ascii="Times New Roman" w:hAnsi="Times New Roman"/>
                <w:i/>
                <w:sz w:val="24"/>
                <w:szCs w:val="24"/>
              </w:rPr>
              <w:t>Критерии оценки:</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оценки:«Отлично» (90-100 баллов) – работа отвечает на поставленный вопрос в полной мере, дано верное толкование терминов, рассмотрены ключевые вопросы, правильно подобранная литература.«Хорошо» (80-89 баллов) – работа отвечает на поставленный вопрос в полной мере, дано верное толкование терминов, ключевые вопросы темы рассмотрены частично, литература подобрана правильно, но не выходит за рамки рекомендуемой.«Удовлетворительно» (70-79 баллов) – работа отвечает на поставленный вопрос, но не в полной мере, дано верное толкование терминов, ключевые вопросы темы рассмотрены частично, литература подобрана правильно, но не выходит за рамки рекомендуемой.«Неудовлетворительно» (0-69 баллов) – работа не отвечает на поставленный вопрос, неверно истолкованы термины, не затронуты ключевые вопросы темы, высокий процент заимствований без ссылок на научную литературу.</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реферат;</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заданий:1.  Морально-этические нормы, правила и принципы профессионального врачебного поведения.2.  Права пациента и врача.3.  Основные принципы врачебной деонтологии и медицинской этики.4.  Расспрос больного и его значение в диагностике заболеваний органов дыхания. Синдром нарушения бронхиальной проходимости.5.  Расспрос больного и его значение в диагностике заболеваний сердечно-сосудистой системы. Синдром острой сердечной недостаточности.6.  Расспрос больного и его значение в диагностике заболеваний сердечно-сосудистой системы. Атеросклероз.7.  Расспрос больного и его значение в диагностике заболеваний сердечно-сосудистой системы. Симптоматические артериальные гипертензии.8.  Расспрос больного и его значение в диагностике заболеваний сердечно-сосудистой системы. Недостаточность митрального клапана.9.  Экстрасистолии, пароксизмальные тахикардии.10. Мерцание и трепетание предсердий.11. Нарушения функции проводимости миокарда (блокада правой и левой ножек пучка Гиса).12. Расстройства стула (поносы, запоры).13. Расспрос больного и его значение в диагностике заболеваний органов пищеварения. Гепатолиенальный синдром.14. Расспрос больного и его значение в диагностике заболеваний органов пищеварения. Синдром печеночной недостаточности, печеночная кома.15. Расспрос больного и его значение в диагностике заболеваний почек и мочевых путей. Отечный синдром.16. История болезни и ее значение как медицинского и юридического документа. Расспрос больного и его значение в диагностике заболеваний почек и мочевых путей. Нефротический синдром.17. Расспрос больного и его значение в диагностике заболеваний крови. Анемический синдром.18. История болезни и ее значение как медицинского и юридического документа. Расспрос больного и его значение в диагностике заболеваний крови. Острый и хронический лейкозы.19. История болезни и ее значение как медицинского и юридического документа. Расспрос больного и его значение в диагностике заболеваний крови. Геморрагический синдром.</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shd w:val="clear" w:color="auto" w:fill="auto"/>
            <w:textDirection w:val="lrTb"/>
            <w:vAlign w:val="bottom"/>
          </w:tcPr>
          <w:p>
            <w:pPr>
              <w:spacing w:after="0"/>
              <w:jc w:val="left"/>
            </w:pPr>
            <w:r>
              <w:rPr>
                <w:rFonts w:ascii="Times New Roman" w:hAnsi="Times New Roman"/>
                <w:i/>
                <w:sz w:val="24"/>
                <w:szCs w:val="24"/>
              </w:rPr>
              <w:t>Критерии оценки:</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реферат оформлен в соответствии с установленными требованиями, полностью раскрыта тема, приведены конкретные примеры, подведен итог проработанному материалу, приведен грамотно оформленный список современной  литературы.Оценка «хорошо» выставляется обучающемуся, если реферат в целом оформлен в соответствии с установленными требованиями, однако тема раскрыта недостаточно полно, частично подведен итог проработанному материалу, в оформлении списка литературы имеются недочеты.Оценка «удовлетворительно» выставляется обучающемуся, если реферат в целом оформлен в соответствии с установленными требованиями, однако тема раскрыта недостаточно полно, частично подведен итог проработанному материалу, в оформлении списка литературы имеются недочеты.Оценка «неудовлетворительно» выставляется обучающемуся, если при оформлении реферата не соблюдены установленные требования, тема раскрыта неполно, не подведен итог проработанному материалу, использовано недостаточное количество источников литературы.</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презентация;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заданий:1.  История болезни и ее значение как медицинского и юридического документа.2.  Синдром очагового уплотнения легочной ткани. Особенности физикальной диагностики.3.  Синдром скопления  воздуха в  полости плевры. Особенности физикальной диагностики.4.  Расспрос больного и его значение в диагностике заболеваний сердечно-сосудистой системы. Болевой синдром (стенокардия, кардиалгия).5.  Гипертоническая болезнь. Современные представления о этиологии и патогенезе.6.  Ревматизм. Проблемы диагностики.7.  Комбинированные и сочетанные пороки сердца.8.  Синусовая тахиаритмии. Современные подходы к диагностике и лечению.9.  Нарушения функции проводимости миокарда (блокада правой и левой ножек пучка Гиса).10. Особенности   болевого   синдрома при поражении различных участков желудочно-кишечного тракта.11. Расстройства стула (поносы, запоры).12. Расспрос больного и его значение в диагностике заболеваний органов пищеварения. Пищеводное, желудочное и кишечное кровотечения.13. Желтушный синдром. Проблемы дифференциальной диагностики.14. Расспрос больного и его значение в диагностике заболеваний органов пищеварения. Синдром печеночной недостаточности, печеночная кома.</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shd w:val="clear" w:color="auto" w:fill="auto"/>
            <w:textDirection w:val="lrTb"/>
            <w:vAlign w:val="bottom"/>
          </w:tcPr>
          <w:p>
            <w:pPr>
              <w:spacing w:after="0"/>
              <w:jc w:val="left"/>
            </w:pPr>
            <w:r>
              <w:rPr>
                <w:rFonts w:ascii="Times New Roman" w:hAnsi="Times New Roman"/>
                <w:i/>
                <w:sz w:val="24"/>
                <w:szCs w:val="24"/>
              </w:rPr>
              <w:t>Критерии оценки:</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презентация подготовлена в соответствии с установленными требованиями, полностью раскрыта тема, приведены конкретные примеры, подведен итог проработанному материалу, приведен грамотно оформленный список современной  литературы.Оценка «хорошо» выставляется обучающемуся, если презентация подготовлена в целом в соответствии с установленными требованиями, однако тема раскрыта недостаточно полно, частично подведен итог проработанному материалу, в оформлении списка литературы имеются недочеты.Оценка «удовлетворительно» выставляется обучающемуся, если презентация подготовлена в целом в соответствии с установленными требованиями, однако тема раскрыта недостаточно полно, частично подведен итог проработанному материалу, в оформлении списка литературы имеются недочеты.Оценка «неудовлетворительно» выставляется обучающемуся, если при подготовке презентации не соблюдены установленные требования, тема раскрыта неполно, не подведен итог проработанному материалу, использовано недостаточное количество источников литературы.</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контрольная работа;</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заданий:1. Схема истории болезни. Приоритет отечественной медицины в разработке истории болезни. Значение паспортных (анкетных) данных.2. Осмотр области печени. Пальпация печени. Последовательность действий врача при пальпации печени. Характеристика края  печени и ее поверхности. Изменения печени в патологии (определяемые физикально). Клиническое значение выявляемых изменений.3. Недостаточность полулунных клапанов аорты (аортальная недостаточность). Изменения внутрисердечной гемодинамики. Физикальная и инструментальная диагностика.4.Общие закономерности изменений ЭКГ при гипертрофии  миокарда.5. Изменения периферической крови при лейкозах: хронический миелолейкоз.6. Понятие о болезни. Методология постановки диагноза. Симптомы и синдромы.7. Общее состояние больного. Положение больного (активное, пассивное, вынужденное).8. Ишемическая болезнь сердца (ИБС). Определение. Инфаркт миокарда. Приоритеты российских ученых в диагностике инфаркта миокарда. Диагностика инфаркта миокарда (клиническая и лабораторно-инструментальная).9. Нормальная ЭКГ: длительность интервалов, величина зубцов. Изменения в патологии.10. Общий клинический анализ крови – исследование количества эритроцитов: методика взятия крови для определения количества эритроцитов, последовательность действий при использовании камеры Горяева, порядок расчета количества эритроцитов (формула). Количество эритроцитов в норме и патологии.</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9915" w:type="dxa"/>
            <w:gridSpan w:val="47"/>
            <w:shd w:val="clear" w:color="auto" w:fill="auto"/>
            <w:textDirection w:val="lrTb"/>
            <w:vAlign w:val="bottom"/>
          </w:tcPr>
          <w:p>
            <w:pPr>
              <w:spacing w:after="0"/>
              <w:jc w:val="left"/>
            </w:pPr>
            <w:r>
              <w:rPr>
                <w:rFonts w:ascii="Times New Roman" w:hAnsi="Times New Roman"/>
                <w:i/>
                <w:sz w:val="24"/>
                <w:szCs w:val="24"/>
              </w:rPr>
              <w:t>Критерии оценки:</w:t>
            </w: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он дает правильный ответ с пояснениями, демонстрирует знание теоретического материала.Оценка «хорошо» выставляется обучающемуся, если он в целом дает правильный ответ, но не в полном объеме может пояснить его, неуверенно демонстрирует знание теоретического материала.Оценка «удовлетворительно» выставляется обучающемуся, если он частично правильно отвечает на предложенные вопросы, не может пояснить свой ответ, имеются недочеты в знании теоретического материала.Оценка «неудовлетворительно» выставляется обучающемуся, если он дает неправильный ответ, имеются множественные недостатки в знании теоретического материала.</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2 уровень – оценка умений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Для оценивания результатов обучения в виде умений используются следующие типы контроля: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кейс-задачи ;</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заданий:Комплект диагностических задач1. Эритроциты 4 200 000 (4,2·1012/л), гемоглобин 12,3 г% (123 г/л), цветовой показатель 1,0, тромбоциты 210 000 (210·109/л), эозинофилы 0,5%, базофилы 0%, нейтрофилы палочкоядерные 2%, сегментоядерные 23,5%, лимфоциты 71%, моноциты 2%, СОЭ 29 мм/ч, клетки (тени) Боткина – Гумпрехта 11:100.Правильный ответ: хронический лимфолейкоз.2.  Эритроциты 4 400 000 (4,4•1012/л), гемоглобин 13,5 г% (135 г/л), цветовой индекс 0,9, тромбоциты 220 000 (220•109/л), лейкоциты 14 000 (14•109/л), эозинофилы 0%, базофилы 0%, метамиелоциты 7%, нейтрофилы палочкоядерные 23%, сегментоядерные 49%, лимфоциты 14%, моноциты 7%, СОЭ 47 мм/ч, токсическая зернистость цитоплазмы нейтрофилов.Правильный ответ: кровь при воспалительной реакции.3. Моча темно-бурого цвета (цвет «пива»), мутноватая, относительная плотность 1,023, белка и сахара нет, реакция на билирубин положитель¬ная, на уробилиновые тела резко положительная. В осадке: единичные клетки плоского эпителия и лейкоциты.Правильный ответ: паренхиматозная желтуха.4. Моча зеленовато-желтого цвета, относительная плотность 1,021, слабокислая, белка и сахара нет, реакция на билирубин резко положи¬тельная, уробилиновые тела отсутствуют. В осадке: 1-2 клетки плоского эпителия, 3-4 лейкоцита в поле зрения.Правильный ответ: механическая желтуха.</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i/>
                <w:sz w:val="24"/>
                <w:szCs w:val="24"/>
              </w:rPr>
              <w:t>Критерии оценки:</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он правильно оформил протокол по всем необходимым пунктам и грамотно составил заключение по ЭКГ.Оценка «хорошо» выставляется обучающемуся, если он в целом правильно оформил протокол по всем необходимым пунктам, но имеются недочеты в составлении заключения по ЭКГ.Оценка «удовлетворительно» выставляется обучающемуся, если он допустил неточности (ошибки) в подсчете амплитуды зубцов и длительности зубцов, интервалов; имеются недочеты в оформлении других пунктов протокола и заключения по ЭКГ.Оценка «неудовлетворительно» выставляется обучающемуся, если он допустил значительные ошибки в интерпретации зубцов и интервалов ЭКГ, неправильно оформил протокол и заключение по ЭКГ.</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кейс-задачи ;</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заданий:Оформление протокола расшифровки ЭКГПункты, которые обязательно должны быть отражены при оформлении протокола расшифровки ЭКГ:I. РитмII. Подсчет амплитуды зубцов и длительности зубцов, интервалов:III. Отклонения от изолинии сегмента ST и изменения зубца ТIV. ЧСС,  систолический показательV.  QT корригированныйVI. Угол aЗаключение.</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i/>
                <w:sz w:val="24"/>
                <w:szCs w:val="24"/>
              </w:rPr>
              <w:t>Критерии оценки:</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он правильно оформил протокол по всем необходимым пунктам и грамотно составил заключение по ЭКГ.Оценка «хорошо» выставляется обучающемуся, если он в целом правильно оформил протокол по всем необходимым пунктам, но имеются недочеты в составлении заключения по ЭКГ.Оценка «удовлетворительно» выставляется обучающемуся, если он допустил неточности (ошибки) в подсчете амплитуды зубцов и длительности зубцов, интервалов; имеются недочеты в оформлении других пунктов протокола и заключения по ЭКГ.Оценка «неудовлетворительно» выставляется обучающемуся, если он допустил значительные ошибки в интерпретации зубцов и интервалов ЭКГ, неправильно оформил протокол и заключение по ЭКГ.</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контрольная работа;</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заданий:Написание фрагмента истории болезниТема 1.1. – 1.2. Вводное занятие. Знакомство с кафедрой. Схема истории болезни. АнамнезПункты, которые обязательно должны быть отражены при написании фрагмента истории болезни:1. Жалобы (при поступлении в клинику)2. История настоящего заболевания (Anamnesis morbi)3. История жизни больного (Anamnesis vitae)3.1. Медицинский анамнез3.1.1.  Перенесенные заболевания3.1.2. Эпидемиологический анамнез3.1.3.  Аллергологический анамнез3.1.4. Лекарственный анамнез3.2. Социальный анамнез3.2.1.  Бытовой анамнез3.2.2. Семейное положение.3.3. Трудовой анамнез (профессиональная деятельность)3.4. Половой  анамнез3.5. Семейный анамнез и наследственность3.6. Вредные привычки (привычные интоксикации)Тема 1.3. Общий (наружный) осмотр больногоПункты, которые обязательно должны быть отражены при написании фрагмента истории болезни:Анамнез1. Жалобы (при поступлении в клинику)2. История настоящего заболевания (Anamnesis morbi)3. История жизни больного (Anamnesis vitae)3.1. Медицинский анамнез3.1.1.  Перенесенные заболевания3.1.2. Эпидемиологический анамнез3.1.3.  Аллергологический анамнез3.1.4. Лекарственный анамнез3.2. Социальный анамнез3.2.1.  Бытовой анамнез3.2.2. Семейное положение.3.3. Трудовой анамнез (профессиональная деятельность)3.4.  Половой  анамнез3.5. Семейный анамнез и наследственность3.6. Вредные привычки (привычные интоксикации)Данные объективного исследования1. Общее состояние2. Температура тела (степень повышения температуры и тип температурной кривой)3. Состояние сознания4. Положение больного5. Голова (лицо, полость рта, глаза, уши, шея)6. Запах тела больного и выдыхаемого им воздуха7. Антропометрические данные8. Кожа и слизистые оболочки.9. Подкожная жировая клетчатка.10. Лимфатические узлы11. Кости12. Мышцы.13. Суставы.</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i/>
                <w:sz w:val="24"/>
                <w:szCs w:val="24"/>
              </w:rPr>
              <w:t>Критерии оценки:</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последовательно и полноценно описаны все необходимые пунктыОценка «хорошо» выставляется обучающемуся, если в целом последовательно описаны все необходимые пункты, однако опущены некоторые деталиОценка «удовлетворительно» выставляется обучающемуся, если описаны все необходимые пункты, однако не соблюдена их последовательность, имеются значимые ошибкиОценка «неудовлетворительно» выставляется обучающемуся, если не описаны все необходимые пункты, допущены множественные ошибки</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3 уровень – оценка навыков</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Для оценивания результатов обучения в виде навыков используются следующие типы контроля: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контрольная работа;</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wordWrap w:val="1"/>
              <w:jc w:val="both"/>
            </w:pPr>
          </w:p>
        </w:tc>
        <w:tc>
          <w:tcPr>
            <w:tcW w:w="1125" w:type="dxa"/>
            <w:gridSpan w:val="9"/>
            <w:shd w:val="clear" w:color="auto" w:fill="auto"/>
            <w:textDirection w:val="lrTb"/>
            <w:vAlign w:val="bottom"/>
          </w:tcPr>
          <w:p>
            <w:pPr>
              <w:spacing w:after="0"/>
              <w:wordWrap w:val="1"/>
              <w:jc w:val="both"/>
            </w:pPr>
          </w:p>
        </w:tc>
        <w:tc>
          <w:tcPr>
            <w:tcW w:w="1305" w:type="dxa"/>
            <w:gridSpan w:val="8"/>
            <w:shd w:val="clear" w:color="auto" w:fill="auto"/>
            <w:textDirection w:val="lrTb"/>
            <w:vAlign w:val="bottom"/>
          </w:tcPr>
          <w:p>
            <w:pPr>
              <w:spacing w:after="0"/>
              <w:wordWrap w:val="1"/>
              <w:jc w:val="both"/>
            </w:pPr>
          </w:p>
        </w:tc>
        <w:tc>
          <w:tcPr>
            <w:tcW w:w="1455" w:type="dxa"/>
            <w:gridSpan w:val="6"/>
            <w:shd w:val="clear" w:color="auto" w:fill="auto"/>
            <w:textDirection w:val="lrTb"/>
            <w:vAlign w:val="bottom"/>
          </w:tcPr>
          <w:p>
            <w:pPr>
              <w:spacing w:after="0"/>
              <w:wordWrap w:val="1"/>
              <w:jc w:val="both"/>
            </w:pPr>
          </w:p>
        </w:tc>
        <w:tc>
          <w:tcPr>
            <w:tcW w:w="960" w:type="dxa"/>
            <w:gridSpan w:val="5"/>
            <w:shd w:val="clear" w:color="auto" w:fill="auto"/>
            <w:textDirection w:val="lrTb"/>
            <w:vAlign w:val="bottom"/>
          </w:tcPr>
          <w:p>
            <w:pPr>
              <w:spacing w:after="0"/>
              <w:wordWrap w:val="1"/>
              <w:jc w:val="both"/>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заданий:Заключительный контроль практических уменийДата «_____» ________________ 20_Группа № ________                Ф.И.О. ____________________________________Вопросы Оценка в баллах(0-0,5-1)1.  Тип конституции (по М.В.Черноруцкому)2.  Определение экскурсии нижнего края легких3.  Пальпация области сердца4.  Осмотр живота5.  Перкуссия селезенкиИтоговая оценкаПодпись преподавателя           __________________________Заключительный контроль практических уменийДата «_____» ________________ 20_Группа № ________         Ф.И.О. ____________________________________Вопросы Оценка в баллах(0-0,5-1)1.  Исследование кожи2.  Осмотр грудной клетки3.  Определение верхушечного толчка4.  Определение асцита методом флюктуации5.  Пальпация селезенкиИтоговая оценкаПодпись преподавателя           __________________________Заключительный контроль практических уменийДата «_____» ________________ 20_Группа № ________         Ф.И.О. ____________________________________Вопросы Оценка в баллах(0-0,5-1)1.  Исследование подкожной жировой клетчатки2.  Определение типа дыхания3.  Определение сердечного толчка4.  Определение асцита методом перкуссии при горизонтальном положении больного5.  Пальпация почек в положении больного лежа на спинеИтоговая оценкаПодпись преподавателя           __________________________</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i/>
                <w:sz w:val="24"/>
                <w:szCs w:val="24"/>
              </w:rPr>
              <w:t>Критерии оценки:</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wordWrap w:val="1"/>
              <w:jc w:val="both"/>
            </w:pPr>
          </w:p>
        </w:tc>
        <w:tc>
          <w:tcPr>
            <w:tcW w:w="1125" w:type="dxa"/>
            <w:gridSpan w:val="9"/>
            <w:shd w:val="clear" w:color="auto" w:fill="auto"/>
            <w:textDirection w:val="lrTb"/>
            <w:vAlign w:val="bottom"/>
          </w:tcPr>
          <w:p>
            <w:pPr>
              <w:spacing w:after="0"/>
              <w:wordWrap w:val="1"/>
              <w:jc w:val="both"/>
            </w:pPr>
          </w:p>
        </w:tc>
        <w:tc>
          <w:tcPr>
            <w:tcW w:w="1305" w:type="dxa"/>
            <w:gridSpan w:val="8"/>
            <w:shd w:val="clear" w:color="auto" w:fill="auto"/>
            <w:textDirection w:val="lrTb"/>
            <w:vAlign w:val="bottom"/>
          </w:tcPr>
          <w:p>
            <w:pPr>
              <w:spacing w:after="0"/>
              <w:wordWrap w:val="1"/>
              <w:jc w:val="both"/>
            </w:pPr>
          </w:p>
        </w:tc>
        <w:tc>
          <w:tcPr>
            <w:tcW w:w="1455" w:type="dxa"/>
            <w:gridSpan w:val="6"/>
            <w:shd w:val="clear" w:color="auto" w:fill="auto"/>
            <w:textDirection w:val="lrTb"/>
            <w:vAlign w:val="bottom"/>
          </w:tcPr>
          <w:p>
            <w:pPr>
              <w:spacing w:after="0"/>
              <w:wordWrap w:val="1"/>
              <w:jc w:val="both"/>
            </w:pPr>
          </w:p>
        </w:tc>
        <w:tc>
          <w:tcPr>
            <w:tcW w:w="960" w:type="dxa"/>
            <w:gridSpan w:val="5"/>
            <w:shd w:val="clear" w:color="auto" w:fill="auto"/>
            <w:textDirection w:val="lrTb"/>
            <w:vAlign w:val="bottom"/>
          </w:tcPr>
          <w:p>
            <w:pPr>
              <w:spacing w:after="0"/>
              <w:wordWrap w:val="1"/>
              <w:jc w:val="both"/>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он успешно выполняет задания, последовательно и правильно соблюдает методику обследования, правильно комментирует свои действияОценка «хорошо» выставляется обучающемуся, если он  в целом умеет выполнить задания, однако допускает неточности в методике обследования, неуверенно комментирует свои действияОценка «удовлетворительно» выставляется обучающемуся, если он  частично выполняет задания, не соблюдая последовательность в методике обследования, не может прокомментировать все свои действияОценка «неудовлетворительно» выставляется обучающемуся, если он не может выполнить задание, допускает ошибки в методике обследования, не может дать оценку своим действиям</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 контрольная работа;</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b/>
                <w:sz w:val="24"/>
                <w:szCs w:val="24"/>
              </w:rPr>
              <w:t>Примеры заданий:</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wordWrap w:val="1"/>
              <w:jc w:val="both"/>
            </w:pPr>
          </w:p>
        </w:tc>
        <w:tc>
          <w:tcPr>
            <w:tcW w:w="1125" w:type="dxa"/>
            <w:gridSpan w:val="9"/>
            <w:shd w:val="clear" w:color="auto" w:fill="auto"/>
            <w:textDirection w:val="lrTb"/>
            <w:vAlign w:val="bottom"/>
          </w:tcPr>
          <w:p>
            <w:pPr>
              <w:spacing w:after="0"/>
              <w:wordWrap w:val="1"/>
              <w:jc w:val="both"/>
            </w:pPr>
          </w:p>
        </w:tc>
        <w:tc>
          <w:tcPr>
            <w:tcW w:w="1305" w:type="dxa"/>
            <w:gridSpan w:val="8"/>
            <w:shd w:val="clear" w:color="auto" w:fill="auto"/>
            <w:textDirection w:val="lrTb"/>
            <w:vAlign w:val="bottom"/>
          </w:tcPr>
          <w:p>
            <w:pPr>
              <w:spacing w:after="0"/>
              <w:wordWrap w:val="1"/>
              <w:jc w:val="both"/>
            </w:pPr>
          </w:p>
        </w:tc>
        <w:tc>
          <w:tcPr>
            <w:tcW w:w="1455" w:type="dxa"/>
            <w:gridSpan w:val="6"/>
            <w:shd w:val="clear" w:color="auto" w:fill="auto"/>
            <w:textDirection w:val="lrTb"/>
            <w:vAlign w:val="bottom"/>
          </w:tcPr>
          <w:p>
            <w:pPr>
              <w:spacing w:after="0"/>
              <w:wordWrap w:val="1"/>
              <w:jc w:val="both"/>
            </w:pPr>
          </w:p>
        </w:tc>
        <w:tc>
          <w:tcPr>
            <w:tcW w:w="960" w:type="dxa"/>
            <w:gridSpan w:val="5"/>
            <w:shd w:val="clear" w:color="auto" w:fill="auto"/>
            <w:textDirection w:val="lrTb"/>
            <w:vAlign w:val="bottom"/>
          </w:tcPr>
          <w:p>
            <w:pPr>
              <w:spacing w:after="0"/>
              <w:wordWrap w:val="1"/>
              <w:jc w:val="both"/>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Примеры заданий:Написание итоговой истории болезниПункты, которые обязательно должны быть отражены при написании истории болезни:1. Жалобы (при поступлении в клинику)2. История настоящего заболевания (Anamnesis morbi)3. История жизни пациента (Anamnesis vitae)3.1. Медицинский анамнез3.1.1.  Перенесенные заболевания3.1.2. Эпидемиологический анамнез3.1.3.  Аллергологический анамнез3.1.4. Лекарственный анамнез3.2. Социальный анамнез3.2.1.  Бытовой анамнез3.2.2. Семейное положение.3.3. Трудовой анамнез (профессиональная деятельность)3.4.  Половой  анамнез3.5. Семейный анамнез и наследственность3.6. Вредные привычки (привычные интоксикации)Данные объективного исследования1. Общее состояние2. Температура тела (степень повышения температуры и тип температурной кривой)3. Состояние сознания4. Положение больного5. Голова (лицо, полость рта, глаза, уши, шея)6. Запах тела пацинта и выдыхаемого им воздуха7. Антропометрические данные8. Кожа и слизистые оболочки.9. Подкожная жировая клетчатка.10. Лимфатические узлы11. Кости12. Мышцы.13. Суставы.14. Данные физикального исследования органов дыхания (осмотр - форма грудной клетки, тип, ритм, частота и глубина дыхательных движений, окружность грудной клетки)15. Данные физикального исследования органов дыхания (пальпация - болезненность, эластичность, голосовое дрожание, частота дыхания)16. Данные физикального исследования органов дыхания (перкуссия - сравнительная перкуссия легких, высота стояния верхушек легких спереди и сзади, ширина верхушечных полей (полей Кренига), нижние границы легких, активная подвижность нижнего края легких)17. Данные физикального исследования органов дыхания (аускультация - основной дыхательный шум, побочные дыхательные шумы, бронхофония)18. Данные физикального исследования сердечно-сосудистой системы (осмотр - видимый верхушечный толчок, сердечный толчок, пульсация магистральных сосудов, эпигастральная пульсация, сердечный горб)19. Данные физикального исследования сердечно-сосудистой системы (пальпация - верхушечный толчок, сердечный толчок, пальпация магистральных сосудов, пульс на сонных и лучевых артериях, систолическое и диастолическое дрожание в области сердца)20. Данные физикального исследования сердечно-сосудистой системы (перкуссия - границы относительной тупости сердца, конфигурация сердечной тупости, ширина сосудистого пучка, границы абсолютной тупости)21. Данные физикального исследования сердечно-сосудистой системы (аускультация - тоны сердца. шумы сердца. локализация шумов сердца, их отношение к фазам сердечного цикла, громкость, тембр, характер, продолжительность, направление проведения)22. Измерение артериального давления на обеих руках и ногах23.Данные физикального исследования органов пищеварения (осмотр - полость рта, язык, конфигурация живота, состояние пупка, наличие расширенных подкожных вен, рубцов, грыжевых выпячиваний24.Данные физикального исследования органов пищеварения (пальпация - поверхностная пальпация живота, глубокая методическая скользящая пальпация по Оразцову-Стражеско, патологические симптомы при холецистите, использование флюктуации для выявления асцита)25.Данные физикального исследования органов пищеварения (перкуссия - определение границ желудка и печени, определение свободной жидкости в полости живота, аускультация - выслушивание перистальтических шумов)26.Осмотр, пальпация и перкуссия селезенки27. Осмотр области почек. Глубокая методическая пальпация почек. Перкуторное определение верхнего края мочевого пузыря. Симптомы поколачивания поясничной области и Пастернацкого. Пальпация мочеточниковых, реберно-поясничных и реберно-позвоночных точек28.Результаты лабораторного и инструментального исследования пациента29.Диагноз и его обоснование30.Патогенез симптомов31.Список литературы, использованной при написании истории болезни</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i/>
                <w:sz w:val="24"/>
                <w:szCs w:val="24"/>
              </w:rPr>
              <w:t>Критерии оценки:</w:t>
            </w:r>
          </w:p>
        </w:tc>
      </w:tr>
      <w:tr>
        <w:trPr>
          <w:cantSplit/>
          <w:trHeight w:val="0" w:hRule="auto"/>
        </w:trPr>
        <w:tc>
          <w:tcPr>
            <w:tcW w:w="3315" w:type="dxa"/>
            <w:gridSpan w:val="11"/>
            <w:shd w:val="clear" w:color="auto" w:fill="auto"/>
            <w:textDirection w:val="lrTb"/>
            <w:vAlign w:val="bottom"/>
          </w:tcPr>
          <w:p>
            <w:pPr>
              <w:spacing w:after="0"/>
              <w:wordWrap w:val="1"/>
              <w:jc w:val="both"/>
            </w:pPr>
          </w:p>
        </w:tc>
        <w:tc>
          <w:tcPr>
            <w:tcW w:w="2715" w:type="dxa"/>
            <w:gridSpan w:val="13"/>
            <w:shd w:val="clear" w:color="auto" w:fill="auto"/>
            <w:textDirection w:val="lrTb"/>
            <w:vAlign w:val="bottom"/>
          </w:tcPr>
          <w:p>
            <w:pPr>
              <w:spacing w:after="0"/>
              <w:wordWrap w:val="1"/>
              <w:jc w:val="both"/>
            </w:pPr>
          </w:p>
        </w:tc>
        <w:tc>
          <w:tcPr>
            <w:tcW w:w="1125" w:type="dxa"/>
            <w:gridSpan w:val="9"/>
            <w:shd w:val="clear" w:color="auto" w:fill="auto"/>
            <w:textDirection w:val="lrTb"/>
            <w:vAlign w:val="bottom"/>
          </w:tcPr>
          <w:p>
            <w:pPr>
              <w:spacing w:after="0"/>
              <w:wordWrap w:val="1"/>
              <w:jc w:val="both"/>
            </w:pPr>
          </w:p>
        </w:tc>
        <w:tc>
          <w:tcPr>
            <w:tcW w:w="1305" w:type="dxa"/>
            <w:gridSpan w:val="8"/>
            <w:shd w:val="clear" w:color="auto" w:fill="auto"/>
            <w:textDirection w:val="lrTb"/>
            <w:vAlign w:val="bottom"/>
          </w:tcPr>
          <w:p>
            <w:pPr>
              <w:spacing w:after="0"/>
              <w:wordWrap w:val="1"/>
              <w:jc w:val="both"/>
            </w:pPr>
          </w:p>
        </w:tc>
        <w:tc>
          <w:tcPr>
            <w:tcW w:w="1455" w:type="dxa"/>
            <w:gridSpan w:val="6"/>
            <w:shd w:val="clear" w:color="auto" w:fill="auto"/>
            <w:textDirection w:val="lrTb"/>
            <w:vAlign w:val="bottom"/>
          </w:tcPr>
          <w:p>
            <w:pPr>
              <w:spacing w:after="0"/>
              <w:wordWrap w:val="1"/>
              <w:jc w:val="both"/>
            </w:pPr>
          </w:p>
        </w:tc>
        <w:tc>
          <w:tcPr>
            <w:tcW w:w="960" w:type="dxa"/>
            <w:gridSpan w:val="5"/>
            <w:shd w:val="clear" w:color="auto" w:fill="auto"/>
            <w:textDirection w:val="lrTb"/>
            <w:vAlign w:val="bottom"/>
          </w:tcPr>
          <w:p>
            <w:pPr>
              <w:spacing w:after="0"/>
              <w:wordWrap w:val="1"/>
              <w:jc w:val="both"/>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Критерии оценки:Оценка «отлично» выставляется обучающемуся, если последовательно и полноценно описаны все необходимые пунктыОценка «хорошо» выставляется обучающемуся, если в целом последовательно описаны все необходимые пункты, однако опущены некоторые деталиОценка «удовлетворительно» выставляется обучающемуся, если описаны все необходимые пункты, однако не соблюдена их последовательность, имеются значимые ошибкиОценка «неудовлетворительно» выставляется обучающемуся, если не описаны все необходимые пункты, допущены множественные ошибки</w:t>
            </w: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tr>
        <w:trPr>
          <w:cantSplit/>
          <w:trHeight w:val="0" w:hRule="auto"/>
        </w:trPr>
        <w:tc>
          <w:tcPr>
            <w:tcW w:w="3315" w:type="dxa"/>
            <w:gridSpan w:val="11"/>
            <w:shd w:val="clear" w:color="auto" w:fill="auto"/>
            <w:textDirection w:val="lrTb"/>
            <w:vAlign w:val="bottom"/>
          </w:tcPr>
          <w:p>
            <w:pPr>
              <w:spacing w:after="0"/>
              <w:wordWrap w:val="1"/>
              <w:jc w:val="left"/>
            </w:pPr>
          </w:p>
        </w:tc>
        <w:tc>
          <w:tcPr>
            <w:tcW w:w="2715" w:type="dxa"/>
            <w:gridSpan w:val="13"/>
            <w:shd w:val="clear" w:color="auto" w:fill="auto"/>
            <w:textDirection w:val="lrTb"/>
            <w:vAlign w:val="bottom"/>
          </w:tcPr>
          <w:p>
            <w:pPr>
              <w:spacing w:after="0"/>
              <w:wordWrap w:val="1"/>
              <w:jc w:val="left"/>
            </w:pPr>
          </w:p>
        </w:tc>
        <w:tc>
          <w:tcPr>
            <w:tcW w:w="1125" w:type="dxa"/>
            <w:gridSpan w:val="9"/>
            <w:shd w:val="clear" w:color="auto" w:fill="auto"/>
            <w:textDirection w:val="lrTb"/>
            <w:vAlign w:val="bottom"/>
          </w:tcPr>
          <w:p>
            <w:pPr>
              <w:spacing w:after="0"/>
              <w:wordWrap w:val="1"/>
              <w:jc w:val="left"/>
            </w:pPr>
          </w:p>
        </w:tc>
        <w:tc>
          <w:tcPr>
            <w:tcW w:w="1305" w:type="dxa"/>
            <w:gridSpan w:val="8"/>
            <w:shd w:val="clear" w:color="auto" w:fill="auto"/>
            <w:textDirection w:val="lrTb"/>
            <w:vAlign w:val="bottom"/>
          </w:tcPr>
          <w:p>
            <w:pPr>
              <w:spacing w:after="0"/>
              <w:wordWrap w:val="1"/>
              <w:jc w:val="left"/>
            </w:pPr>
          </w:p>
        </w:tc>
        <w:tc>
          <w:tcPr>
            <w:tcW w:w="1455" w:type="dxa"/>
            <w:gridSpan w:val="6"/>
            <w:shd w:val="clear" w:color="auto" w:fill="auto"/>
            <w:textDirection w:val="lrTb"/>
            <w:vAlign w:val="bottom"/>
          </w:tcPr>
          <w:p>
            <w:pPr>
              <w:spacing w:after="0"/>
              <w:wordWrap w:val="1"/>
              <w:jc w:val="left"/>
            </w:pPr>
          </w:p>
        </w:tc>
        <w:tc>
          <w:tcPr>
            <w:tcW w:w="960" w:type="dxa"/>
            <w:gridSpan w:val="5"/>
            <w:shd w:val="clear" w:color="auto" w:fill="auto"/>
            <w:textDirection w:val="lrTb"/>
            <w:vAlign w:val="bottom"/>
          </w:tcPr>
          <w:p>
            <w:pPr>
              <w:spacing w:after="0"/>
              <w:wordWrap w:val="1"/>
              <w:jc w:val="left"/>
            </w:pPr>
          </w:p>
        </w:tc>
      </w:tr>
      <w:p>
        <w:r>
          <w:br w:type="page"/>
        </w:r>
      </w:p>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6.4. Методические материалы, определяющие процедуры оценивания знаний, умений, навыков и (или) опыта деятельности, характеризующих этапы</w:t>
            </w:r>
          </w:p>
          <w:p>
            <w:pPr>
              <w:spacing w:after="0"/>
              <w:wordWrap w:val="1"/>
              <w:jc w:val="center"/>
            </w:pPr>
            <w:r>
              <w:rPr>
                <w:rFonts w:ascii="Times New Roman" w:hAnsi="Times New Roman"/>
                <w:b/>
                <w:sz w:val="24"/>
                <w:szCs w:val="24"/>
              </w:rPr>
              <w:t>формирования компетенций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Процедура оценивания результатов обучения осуществляется на основе Положения Казанского ГМУ о текущем контроле успеваемости и промежуточной аттестации обучающихся.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Текущему контролю успеваемости (далее – ТКУ) подлежат все виды учебной деятельности студентов по дисциплине: лекции, практические занятия, самостоятельная работа, работа на образовательном портале.</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ТКУ проводится преподавателем, прикрепленным для реализации образовательной программы в конкретной академической группе или преподавателем, ответственным за виды учебной деятельности обучающихся.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ТКУ по дисциплине подлежат:</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кейс-задача</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контрольная работа</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презентации</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реферат</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тестирование</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устный опрос</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Оценка ТКУ студентов по отдельной теме выражается по 10-балльной шкале.</w:t>
            </w: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Оценка успеваемости студентов по модульной контрольной работе (модулю) выражается в 100-балльной шкале.</w:t>
            </w: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Оценка обязательно отражается в учебном журнале.</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При проведении промежуточной аттестации учитываются результаты ТКУ за весь период обучения по дисциплине и применяется балльно-рейтинговая система, утвержденная Положением Казанского ГМУ о текущем контроле успеваемости и промежуточной аттестации обучающихся. Итоговая (рейтинговая) оценка включает: оценки по модулям (в 100-балльной шкале), текущие оценки (в 10-балльной шкале), оценку промежуточной аттестации (в 100-балльной шкале).</w:t>
            </w: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Промежуточная аттестация по дисциплине:</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экзамен</w:t>
            </w:r>
          </w:p>
        </w:tc>
      </w:tr>
      <w:p>
        <w:r>
          <w:br w:type="page"/>
        </w:r>
      </w:p>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7. Перечень основной и дополнительной учебной литературы, необходимой для освоения дисциплины (модуля)</w:t>
            </w:r>
          </w:p>
        </w:tc>
      </w:tr>
      <w:tr>
        <w:trPr>
          <w:cantSplit/>
          <w:trHeight w:val="0" w:hRule="auto"/>
        </w:trPr>
        <w:tc>
          <w:tcPr>
            <w:tcW w:w="3315" w:type="dxa"/>
            <w:gridSpan w:val="11"/>
            <w:shd w:val="clear" w:color="auto" w:fill="auto"/>
            <w:textDirection w:val="lrTb"/>
            <w:vAlign w:val="bottom"/>
          </w:tcPr>
          <w:p>
            <w:pPr>
              <w:spacing w:after="0"/>
              <w:jc w:val="center"/>
            </w:pPr>
          </w:p>
        </w:tc>
        <w:tc>
          <w:tcPr>
            <w:tcW w:w="2715" w:type="dxa"/>
            <w:gridSpan w:val="13"/>
            <w:shd w:val="clear" w:color="auto" w:fill="auto"/>
            <w:textDirection w:val="lrTb"/>
            <w:vAlign w:val="bottom"/>
          </w:tcPr>
          <w:p>
            <w:pPr>
              <w:spacing w:after="0"/>
              <w:jc w:val="center"/>
            </w:pPr>
          </w:p>
        </w:tc>
        <w:tc>
          <w:tcPr>
            <w:tcW w:w="1125" w:type="dxa"/>
            <w:gridSpan w:val="9"/>
            <w:shd w:val="clear" w:color="auto" w:fill="auto"/>
            <w:textDirection w:val="lrTb"/>
            <w:vAlign w:val="bottom"/>
          </w:tcPr>
          <w:p>
            <w:pPr>
              <w:spacing w:after="0"/>
              <w:jc w:val="center"/>
            </w:pPr>
          </w:p>
        </w:tc>
        <w:tc>
          <w:tcPr>
            <w:tcW w:w="1305" w:type="dxa"/>
            <w:gridSpan w:val="8"/>
            <w:shd w:val="clear" w:color="auto" w:fill="auto"/>
            <w:textDirection w:val="lrTb"/>
            <w:vAlign w:val="bottom"/>
          </w:tcPr>
          <w:p>
            <w:pPr>
              <w:spacing w:after="0"/>
              <w:jc w:val="center"/>
            </w:pPr>
          </w:p>
        </w:tc>
        <w:tc>
          <w:tcPr>
            <w:tcW w:w="1455" w:type="dxa"/>
            <w:gridSpan w:val="6"/>
            <w:shd w:val="clear" w:color="auto" w:fill="auto"/>
            <w:textDirection w:val="lrTb"/>
            <w:vAlign w:val="bottom"/>
          </w:tcPr>
          <w:p>
            <w:pPr>
              <w:spacing w:after="0"/>
              <w:jc w:val="center"/>
            </w:pPr>
          </w:p>
        </w:tc>
        <w:tc>
          <w:tcPr>
            <w:tcW w:w="960" w:type="dxa"/>
            <w:gridSpan w:val="5"/>
            <w:shd w:val="clear" w:color="auto" w:fill="auto"/>
            <w:textDirection w:val="lrTb"/>
            <w:vAlign w:val="bottom"/>
          </w:tcPr>
          <w:p>
            <w:pPr>
              <w:spacing w:after="0"/>
              <w:jc w:val="center"/>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7.1. Основная учебная литература</w:t>
            </w:r>
          </w:p>
        </w:tc>
      </w:tr>
      <w:tr>
        <w:trPr>
          <w:cantSplit/>
          <w:trHeight w:val="0" w:hRule="auto"/>
        </w:trPr>
        <w:tc>
          <w:tcPr>
            <w:tcW w:w="3315" w:type="dxa"/>
            <w:gridSpan w:val="11"/>
            <w:shd w:val="clear" w:color="auto" w:fill="auto"/>
            <w:textDirection w:val="lrTb"/>
            <w:vAlign w:val="bottom"/>
          </w:tcPr>
          <w:p>
            <w:pPr>
              <w:spacing w:after="0"/>
              <w:jc w:val="center"/>
            </w:pPr>
          </w:p>
        </w:tc>
        <w:tc>
          <w:tcPr>
            <w:tcW w:w="2715" w:type="dxa"/>
            <w:gridSpan w:val="13"/>
            <w:shd w:val="clear" w:color="auto" w:fill="auto"/>
            <w:textDirection w:val="lrTb"/>
            <w:vAlign w:val="bottom"/>
          </w:tcPr>
          <w:p>
            <w:pPr>
              <w:spacing w:after="0"/>
              <w:jc w:val="center"/>
            </w:pPr>
          </w:p>
        </w:tc>
        <w:tc>
          <w:tcPr>
            <w:tcW w:w="1125" w:type="dxa"/>
            <w:gridSpan w:val="9"/>
            <w:shd w:val="clear" w:color="auto" w:fill="auto"/>
            <w:textDirection w:val="lrTb"/>
            <w:vAlign w:val="bottom"/>
          </w:tcPr>
          <w:p>
            <w:pPr>
              <w:spacing w:after="0"/>
              <w:jc w:val="center"/>
            </w:pPr>
          </w:p>
        </w:tc>
        <w:tc>
          <w:tcPr>
            <w:tcW w:w="1305" w:type="dxa"/>
            <w:gridSpan w:val="8"/>
            <w:shd w:val="clear" w:color="auto" w:fill="auto"/>
            <w:textDirection w:val="lrTb"/>
            <w:vAlign w:val="bottom"/>
          </w:tcPr>
          <w:p>
            <w:pPr>
              <w:spacing w:after="0"/>
              <w:jc w:val="center"/>
            </w:pPr>
          </w:p>
        </w:tc>
        <w:tc>
          <w:tcPr>
            <w:tcW w:w="1455" w:type="dxa"/>
            <w:gridSpan w:val="6"/>
            <w:shd w:val="clear" w:color="auto" w:fill="auto"/>
            <w:textDirection w:val="lrTb"/>
            <w:vAlign w:val="bottom"/>
          </w:tcPr>
          <w:p>
            <w:pPr>
              <w:spacing w:after="0"/>
              <w:jc w:val="center"/>
            </w:pPr>
          </w:p>
        </w:tc>
        <w:tc>
          <w:tcPr>
            <w:tcW w:w="960" w:type="dxa"/>
            <w:gridSpan w:val="5"/>
            <w:shd w:val="clear" w:color="auto" w:fill="auto"/>
            <w:textDirection w:val="lrTb"/>
            <w:vAlign w:val="bottom"/>
          </w:tcPr>
          <w:p>
            <w:pPr>
              <w:spacing w:after="0"/>
              <w:jc w:val="center"/>
            </w:pPr>
          </w:p>
        </w:tc>
      </w:tr>
    </w:tbl>
    <w:tbl>
      <w:tblPr>
        <w:tblStyle w:val="TableStyle24"/>
        <w:tblW w:w="5000" w:type="pct"/>
        <w:tblLayout w:type="fixed"/>
        <w:tblCellMar>
          <w:left w:w="0" w:type="dxa"/>
          <w:right w:w="0" w:type="dxa"/>
        </w:tblCellMar>
        <w:tblLook w:val="04A0"/>
      </w:tblPr>
      <w:tblGrid>
        <w:gridCol w:w="810"/>
        <w:gridCol w:w="405"/>
        <w:gridCol w:w="210"/>
        <w:gridCol w:w="210"/>
        <w:gridCol w:w="210"/>
        <w:gridCol w:w="210"/>
        <w:gridCol w:w="405"/>
        <w:gridCol w:w="825"/>
        <w:gridCol w:w="345"/>
        <w:gridCol w:w="360"/>
        <w:gridCol w:w="705"/>
        <w:gridCol w:w="720"/>
        <w:gridCol w:w="720"/>
        <w:gridCol w:w="960"/>
        <w:gridCol w:w="1905"/>
        <w:gridCol w:w="1875"/>
      </w:tblGrid>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sz w:val="24"/>
                <w:szCs w:val="24"/>
              </w:rPr>
              <w:t>№</w:t>
            </w:r>
          </w:p>
        </w:tc>
        <w:tc>
          <w:tcPr>
            <w:tcW w:w="8190" w:type="dxa"/>
            <w:gridSpan w:val="1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Наименование согласно библиографическим требованиям</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sz w:val="24"/>
                <w:szCs w:val="24"/>
              </w:rPr>
              <w:t>В библиотеке</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1</w:t>
            </w:r>
          </w:p>
        </w:tc>
        <w:tc>
          <w:tcPr>
            <w:tcW w:w="8190" w:type="dxa"/>
            <w:gridSpan w:val="14"/>
            <w:tcBorders>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Пропедевтика внутренних болезней [Текст] : учебник / Н. А. Мухин, В. С. Моисеев. - 2-е изд., доп. и перераб. - Москва : ГЭОТАР-Медиа, 2015. - 847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449 экземпляров</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2</w:t>
            </w:r>
          </w:p>
        </w:tc>
        <w:tc>
          <w:tcPr>
            <w:tcW w:w="8190" w:type="dxa"/>
            <w:gridSpan w:val="14"/>
            <w:tcBorders>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Основы семиотики заболеваний внутренних органов [Текст] : учеб. пособие / А. В. Струтынский [и др.]. - 11-е изд. - Москва : МЕДпресс-информ, 2017. - 298, [6]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623 экземпляра</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3</w:t>
            </w:r>
          </w:p>
        </w:tc>
        <w:tc>
          <w:tcPr>
            <w:tcW w:w="8190" w:type="dxa"/>
            <w:gridSpan w:val="14"/>
            <w:tcBorders>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Инструментальные методы исследования сердечно-сосудистой системы : учеб. пособие / [авт. коллектив: В. Н. Ослопов и др.]. - М. : ГЭОТАР-Медиа, 2012. - 623, [1]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523 экземпляра</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4</w:t>
            </w:r>
          </w:p>
        </w:tc>
        <w:tc>
          <w:tcPr>
            <w:tcW w:w="8190" w:type="dxa"/>
            <w:gridSpan w:val="14"/>
            <w:tcBorders>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История болезни терапевтического больного [Текст] : учеб. пособие / В. Н. Ослопов, О. В. Богоявленская, Ю. В. Ослопова. - 3-е изд., перераб. и доп. - Москва : МЕДпресс-информ, 2016. - 166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733 экземпляра</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5</w:t>
            </w:r>
          </w:p>
        </w:tc>
        <w:tc>
          <w:tcPr>
            <w:tcW w:w="8190" w:type="dxa"/>
            <w:gridSpan w:val="14"/>
            <w:tcBorders>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Клиническая лабоpатоpная диагностика : учебное пособие : [метод. пособие] / [сост.: В. Н. Ослопов, А. Р. Садыкова, Р. А. Абдулхаков]. - 3-е изд. - М. : МЕДпресс-информ, 2005. - 64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773 экземпляра</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6</w:t>
            </w:r>
          </w:p>
        </w:tc>
        <w:tc>
          <w:tcPr>
            <w:tcW w:w="8190" w:type="dxa"/>
            <w:gridSpan w:val="14"/>
            <w:tcBorders>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Электрокардиография [Текст] : учеб. пособие для студентов мед. вузов / В. В. Мурашко, А. В. Струтынский. - 10-е изд. - М. : МЕДпресс-информ, 2011. - 314, [6]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825 экземпляров</w:t>
            </w:r>
          </w:p>
        </w:tc>
      </w:tr>
    </w:tbl>
    <w:tbl>
      <w:tblPr>
        <w:tblStyle w:val="TableStyle25"/>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7.2. Перечень дополнительной литературы</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bl>
    <w:tbl>
      <w:tblPr>
        <w:tblStyle w:val="TableStyle26"/>
        <w:tblW w:w="5000" w:type="pct"/>
        <w:tblLayout w:type="fixed"/>
        <w:tblCellMar>
          <w:left w:w="0" w:type="dxa"/>
          <w:right w:w="0" w:type="dxa"/>
        </w:tblCellMar>
        <w:tblLook w:val="04A0"/>
      </w:tblPr>
      <w:tblGrid>
        <w:gridCol w:w="810"/>
        <w:gridCol w:w="405"/>
        <w:gridCol w:w="210"/>
        <w:gridCol w:w="210"/>
        <w:gridCol w:w="210"/>
        <w:gridCol w:w="210"/>
        <w:gridCol w:w="405"/>
        <w:gridCol w:w="825"/>
        <w:gridCol w:w="345"/>
        <w:gridCol w:w="360"/>
        <w:gridCol w:w="705"/>
        <w:gridCol w:w="720"/>
        <w:gridCol w:w="720"/>
        <w:gridCol w:w="1050"/>
        <w:gridCol w:w="1815"/>
        <w:gridCol w:w="1860"/>
        <w:gridCol w:w="15"/>
      </w:tblGrid>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sz w:val="24"/>
                <w:szCs w:val="24"/>
              </w:rPr>
              <w:t>№</w:t>
            </w:r>
          </w:p>
        </w:tc>
        <w:tc>
          <w:tcPr>
            <w:tcW w:w="8190" w:type="dxa"/>
            <w:gridSpan w:val="1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Наименование согласно библиографическим требованиям</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sz w:val="24"/>
                <w:szCs w:val="24"/>
              </w:rPr>
              <w:t>В библиотеке</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1</w:t>
            </w:r>
          </w:p>
        </w:tc>
        <w:tc>
          <w:tcPr>
            <w:tcW w:w="8190" w:type="dxa"/>
            <w:gridSpan w:val="1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Инструментальные методы исследования сердечно-сосудистой системы : учеб. пособие / [авт. коллектив: В. Н. Ослопов и др.]. - М. : ГЭОТАР-Медиа, 2012. - 623, [1]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2</w:t>
            </w:r>
          </w:p>
        </w:tc>
        <w:tc>
          <w:tcPr>
            <w:tcW w:w="8190" w:type="dxa"/>
            <w:gridSpan w:val="1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История болезни терапевтического больного [Текст] : [учеб. пособие] / В. Н. Ослопов, О. В. Богоявленская, Ю. В. Ослопова. - 2-е изд., испр. и доп. - Москва :МЕДпресс-информ, 2013. - 149, [3]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3</w:t>
            </w:r>
          </w:p>
        </w:tc>
        <w:tc>
          <w:tcPr>
            <w:tcW w:w="8190" w:type="dxa"/>
            <w:gridSpan w:val="1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Клиническая лабоpатоpная диагностика : учебное пособие : [метод. пособие] / [сост.: В. Н. Ослопов, А. Р. Садыкова, Р. А. Абдулхаков]. - 3-е изд. - М. :МЕДпресс-информ, 2005. - 64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r>
              <w:rPr>
                <w:rFonts w:ascii="Times New Roman" w:hAnsi="Times New Roman"/>
                <w:sz w:val="24"/>
                <w:szCs w:val="24"/>
              </w:rPr>
              <w:t>4</w:t>
            </w:r>
          </w:p>
        </w:tc>
        <w:tc>
          <w:tcPr>
            <w:tcW w:w="8190" w:type="dxa"/>
            <w:gridSpan w:val="14"/>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Электрокардиография : учеб. пособие для студентов мед. вузов / В. В. Мурашко, А. В. Струтынский. - 10-е изд. - М. :МЕДпресс-информ, 2011. - 314, [6] с</w:t>
            </w:r>
          </w:p>
        </w:tc>
        <w:tc>
          <w:tcPr>
            <w:tcW w:w="1875" w:type="dxa"/>
            <w:gridSpan w:val="2"/>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center"/>
            </w:pPr>
          </w:p>
        </w:tc>
      </w:tr>
    </w:tbl>
    <w:tbl>
      <w:tblPr>
        <w:tblStyle w:val="TableStyle27"/>
        <w:tblW w:w="5000" w:type="pct"/>
        <w:tblLayout w:type="fixed"/>
        <w:tblCellMar>
          <w:left w:w="0" w:type="dxa"/>
          <w:right w:w="0" w:type="dxa"/>
        </w:tblCellMar>
        <w:tblLook w:val="04A0"/>
      </w:tblPr>
      <w:tblGrid>
        <w:gridCol w:w="810"/>
        <w:gridCol w:w="660"/>
        <w:gridCol w:w="210"/>
        <w:gridCol w:w="90"/>
        <w:gridCol w:w="105"/>
        <w:gridCol w:w="210"/>
        <w:gridCol w:w="405"/>
        <w:gridCol w:w="405"/>
        <w:gridCol w:w="210"/>
        <w:gridCol w:w="105"/>
        <w:gridCol w:w="105"/>
        <w:gridCol w:w="90"/>
        <w:gridCol w:w="90"/>
        <w:gridCol w:w="180"/>
        <w:gridCol w:w="360"/>
        <w:gridCol w:w="345"/>
        <w:gridCol w:w="195"/>
        <w:gridCol w:w="90"/>
        <w:gridCol w:w="90"/>
        <w:gridCol w:w="75"/>
        <w:gridCol w:w="90"/>
        <w:gridCol w:w="180"/>
        <w:gridCol w:w="840"/>
        <w:gridCol w:w="90"/>
        <w:gridCol w:w="30"/>
        <w:gridCol w:w="60"/>
        <w:gridCol w:w="90"/>
        <w:gridCol w:w="180"/>
        <w:gridCol w:w="390"/>
        <w:gridCol w:w="180"/>
        <w:gridCol w:w="90"/>
        <w:gridCol w:w="45"/>
        <w:gridCol w:w="60"/>
        <w:gridCol w:w="45"/>
        <w:gridCol w:w="75"/>
        <w:gridCol w:w="120"/>
        <w:gridCol w:w="345"/>
        <w:gridCol w:w="480"/>
        <w:gridCol w:w="120"/>
        <w:gridCol w:w="60"/>
        <w:gridCol w:w="60"/>
        <w:gridCol w:w="75"/>
        <w:gridCol w:w="75"/>
        <w:gridCol w:w="300"/>
        <w:gridCol w:w="615"/>
        <w:gridCol w:w="105"/>
        <w:gridCol w:w="285"/>
        <w:gridCol w:w="480"/>
        <w:gridCol w:w="240"/>
        <w:gridCol w:w="120"/>
        <w:gridCol w:w="45"/>
        <w:gridCol w:w="75"/>
      </w:tblGrid>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7.3. Периодическая печать</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810" w:type="dxa"/>
            <w:tcBorders>
              <w:top w:val="single" w:sz="5" w:space="0" w:color="auto"/>
              <w:left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sz w:val="24"/>
                <w:szCs w:val="24"/>
              </w:rPr>
              <w:t>№</w:t>
            </w:r>
          </w:p>
        </w:tc>
        <w:tc>
          <w:tcPr>
            <w:tcW w:w="10065" w:type="dxa"/>
            <w:gridSpan w:val="5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left"/>
            </w:pPr>
            <w:r>
              <w:rPr>
                <w:rFonts w:ascii="Times New Roman" w:hAnsi="Times New Roman"/>
                <w:sz w:val="24"/>
                <w:szCs w:val="24"/>
              </w:rPr>
              <w:t>Наименование</w:t>
            </w:r>
          </w:p>
        </w:tc>
      </w:tr>
      <w:tr>
        <w:trPr>
          <w:cantSplit/>
          <w:trHeight w:val="0" w:hRule="auto"/>
        </w:trPr>
        <w:tc>
          <w:tcPr>
            <w:tcW w:w="810" w:type="dxa"/>
            <w:tcBorders>
              <w:left w:val="single" w:sz="5" w:space="0" w:color="auto"/>
              <w:bottom w:val="single" w:sz="5" w:space="0" w:color="auto"/>
              <w:right w:val="single" w:sz="5" w:space="0" w:color="auto"/>
            </w:tcBorders>
            <w:shd w:val="clear" w:color="auto" w:fill="auto"/>
            <w:textDirection w:val="lrTb"/>
            <w:vAlign w:val="bottom"/>
          </w:tcPr>
          <w:p>
            <w:pPr>
              <w:spacing w:after="0"/>
              <w:jc w:val="center"/>
            </w:pPr>
            <w:r>
              <w:rPr>
                <w:rFonts w:ascii="Times New Roman" w:hAnsi="Times New Roman"/>
                <w:sz w:val="24"/>
                <w:szCs w:val="24"/>
              </w:rPr>
              <w:t>пп.</w:t>
            </w:r>
          </w:p>
        </w:tc>
        <w:tc>
          <w:tcPr>
            <w:tcW w:w="10065" w:type="dxa"/>
            <w:gridSpan w:val="5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jc w:val="left"/>
            </w:pPr>
            <w:r>
              <w:rPr>
                <w:rFonts w:ascii="Times New Roman" w:hAnsi="Times New Roman"/>
                <w:sz w:val="24"/>
                <w:szCs w:val="24"/>
              </w:rPr>
              <w:t>Наименование</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1</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"Врач"</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2</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"Кардиология"</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3</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"Клиническая медицина"</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4</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"Клиническая фармакология и терапия"</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5</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"Лечащий врач"</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6</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"Практическая медицина"</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7</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Журнал “Российский медицинский журнал”</w:t>
            </w:r>
          </w:p>
        </w:tc>
      </w:tr>
      <w:tr>
        <w:trPr>
          <w:cantSplit/>
          <w:trHeight w:val="0" w:hRule="auto"/>
        </w:trPr>
        <w:tc>
          <w:tcPr>
            <w:tcW w:w="810" w:type="dxa"/>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jc w:val="center"/>
            </w:pPr>
            <w:r>
              <w:rPr>
                <w:rFonts w:ascii="Times New Roman" w:hAnsi="Times New Roman"/>
                <w:sz w:val="24"/>
                <w:szCs w:val="24"/>
              </w:rPr>
              <w:t>8</w:t>
            </w:r>
          </w:p>
        </w:tc>
        <w:tc>
          <w:tcPr>
            <w:tcW w:w="10065" w:type="dxa"/>
            <w:gridSpan w:val="51"/>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left"/>
            </w:pPr>
            <w:r>
              <w:rPr>
                <w:rFonts w:ascii="Times New Roman" w:hAnsi="Times New Roman"/>
                <w:sz w:val="24"/>
                <w:szCs w:val="24"/>
              </w:rPr>
              <w:t>Электронные журналы  на платформе elibrary.ru (Качественная клиническая практика, Российский медицинский журнал, Клиническая нефрология, Кардиоваскулярная терапия и профилактика)</w:t>
            </w:r>
          </w:p>
        </w:tc>
      </w:tr>
      <w:p>
        <w:r>
          <w:br w:type="page"/>
        </w:r>
      </w:p>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8. Перечень ресурсов информационно-телекоммуникационной сети «Интернет» (далее – </w:t>
            </w: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сеть «Интернет»), необходимых для освоения дисциплины (модуля)</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1. Электронный каталог научной библиотеки Казанского ГМУ http://lib.kazangmu.ru/jirbis2/index.php?option=com_irbis&amp;view=irbis&amp;Itemid=108&amp;lang=ru</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2. Электронно-библиотечная система КГМУ (ЭБС КГМУ) https://lib-kazangmu.ru/</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3. Студенческая электронная библиотека «Консультант студента» http://www.studentlibrary.ru</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4. Консультант врача – электронная медицинская библиотека http://www.rosmedlib.ru</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5. Научная электронная библиотека elibrary.ru http://elibrary.ru</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6. Онлайн-версия системы «КонсультантПлюс: Студент» https://student2.consultant.ru/cgi/online.cgi?req=home;rnd=0.5673884906746562</w:t>
            </w:r>
          </w:p>
        </w:tc>
      </w:tr>
      <w:p>
        <w:r>
          <w:br w:type="page"/>
        </w:r>
      </w:p>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center"/>
            </w:pPr>
            <w:r>
              <w:rPr>
                <w:rFonts w:ascii="Times New Roman" w:hAnsi="Times New Roman"/>
                <w:b/>
                <w:sz w:val="24"/>
                <w:szCs w:val="24"/>
              </w:rPr>
              <w:t>9. Методические указания для обучающихся по освоению дисциплины</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7155" w:type="dxa"/>
            <w:gridSpan w:val="33"/>
            <w:shd w:val="clear" w:color="auto" w:fill="auto"/>
            <w:textDirection w:val="lrTb"/>
            <w:vAlign w:val="bottom"/>
          </w:tcPr>
          <w:p>
            <w:pPr>
              <w:spacing w:after="0"/>
              <w:jc w:val="left"/>
            </w:pPr>
            <w:r>
              <w:rPr>
                <w:rFonts w:ascii="Times New Roman" w:hAnsi="Times New Roman"/>
                <w:b/>
                <w:sz w:val="24"/>
                <w:szCs w:val="24"/>
              </w:rPr>
              <w:t>Рекомендации по работе с лекционным материалом.</w:t>
            </w: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cMar/>
            <w:textDirection w:val="lrTb"/>
            <w:vAlign w:val="bottom"/>
          </w:tcPr>
          <w:p>
            <w:pPr>
              <w:spacing w:after="0"/>
              <w:ind/>
              <w:wordWrap w:val="1"/>
              <w:jc w:val="both"/>
            </w:pPr>
            <w:r>
              <w:rPr>
                <w:rFonts w:ascii="Times New Roman" w:hAnsi="Times New Roman"/>
                <w:sz w:val="24"/>
                <w:szCs w:val="24"/>
              </w:rPr>
              <w:t xml:space="preserve">     Для успешного выполнения заданий текущего и итогового контроля рекомендуется вести конспект лекционного материала, но при этом не нужно стремиться записать лекцию «слово в слово», т.к. это снижает эффективность восприятия. Необходимо учиться определять уровень важности материала, излагаемого в лекции, что позволит уменьшить текст на 50–75 %.При этом следует иметь в виду, что лекция, как и учебник, выполняет функцию введения студента в тему: она дает понимание проблемы, ориентирует в основных понятиях и концепциях, а также в литературе по данной теме. Однако глубокое понимание темы невозможно без ее дальнейшей самостоятельной проработки. Поэтому изучение любой темы предполагает, что студент, готовясь к семинарскому занятию, не только перечитывает лекцию, но также внимательно читает и конспектирует рекомендованную литературу.</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left"/>
            </w:pPr>
            <w:r>
              <w:rPr>
                <w:rFonts w:ascii="Times New Roman" w:hAnsi="Times New Roman"/>
                <w:b/>
                <w:sz w:val="24"/>
                <w:szCs w:val="24"/>
              </w:rPr>
              <w:t>Рекомендации по подготовке к практическим занятиям.</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При подготовке к практическому занятию можно выделить 2 этапа: 1-й – организационный; 2-й – закрепление и углубление теоретических знаний. На первом этапе студент планирует свою самостоятельную работу, которая включает: – уяснение задания на самостоятельную работу; – подбор рекомендованной литературы; – составление плана работы, в котором определяются основные пункты предстоящей подготовки.При необходимости следует обращаться за консультацией к преподавателю. Идя на консультацию, необходимо хорошо продумать вопросы, которые требуют разъяснения. В начале практического занятия студенты под руководством преподавателя более глубоко осмысливают теоретические положения по теме занятия, раскрывают и объясняют основные явления и факты. В процессе творческого обсуждения и дискуссии вырабатываются умения и навыки использовать приобретенные знания для решения практических задач</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left"/>
            </w:pPr>
            <w:r>
              <w:rPr>
                <w:rFonts w:ascii="Times New Roman" w:hAnsi="Times New Roman"/>
                <w:b/>
                <w:sz w:val="24"/>
                <w:szCs w:val="24"/>
              </w:rPr>
              <w:t>Рекомендации по самостоятельной работе студентов.</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Основное внимание уделять усвоению определений базовых понятий и категорий, а также содержания основных проблемне просто заучивать и запоминать информацию, но понимать ее – понимание существенно экономит время и усилия, и позволяет продуктивно использовать полученные знаниядля лучшего освоения материала по дисциплине, необходимо постоянно разбирать материалы лекций по конспектам и учебным пособиям. В случае необходимости обращаться к преподавателю за консультацией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left"/>
            </w:pPr>
            <w:r>
              <w:rPr>
                <w:rFonts w:ascii="Times New Roman" w:hAnsi="Times New Roman"/>
                <w:b/>
                <w:sz w:val="24"/>
                <w:szCs w:val="24"/>
              </w:rPr>
              <w:t>Требования к выполнению сообщения (доклада).</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Основное внимание уделять усвоению определений базовых понятий и категорий, а также содержания основных проблемне просто заучивать и запоминать информацию, но понимать ее – понимание существенно экономит время и усилия, и позволяет продуктивно использовать полученные знаниядля лучшего освоения материала по дисциплине, необходимо постоянно разбирать материалы лекций по конспектам и учебным пособиям. В случае необходимости обращаться к преподавателю за консультацией</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left"/>
            </w:pPr>
            <w:r>
              <w:rPr>
                <w:rFonts w:ascii="Times New Roman" w:hAnsi="Times New Roman"/>
                <w:b/>
                <w:sz w:val="24"/>
                <w:szCs w:val="24"/>
              </w:rPr>
              <w:t>Подготовка к промежуточной аттестации.</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 xml:space="preserve">     Изучение дисциплины заканчивается промежуточной аттестацией, которая проводится в форме экзамена с ответами на вопросы и решением ситуационных задач.</w:t>
            </w:r>
          </w:p>
        </w:tc>
      </w:tr>
      <w:p>
        <w:r>
          <w:br w:type="page"/>
        </w:r>
      </w:p>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10. 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1.   Образовательный портал дистанционного обучения Казанского ГМУ, созданный на платформе LMS MOODLE.  Дистанционный курс в составе образовательного портала содержит в себе лекции, презентации, задания, тесты, ссылки на учебный материал и другие элементы.</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2.   Операционная система Windows.</w:t>
            </w:r>
          </w:p>
        </w:tc>
      </w:tr>
      <w:tr>
        <w:trPr>
          <w:cantSplit/>
          <w:trHeight w:val="0" w:hRule="auto"/>
        </w:trPr>
        <w:tc>
          <w:tcPr>
            <w:tcW w:w="10875" w:type="dxa"/>
            <w:gridSpan w:val="52"/>
            <w:shd w:val="clear" w:color="auto" w:fill="auto"/>
            <w:textDirection w:val="lrTb"/>
            <w:vAlign w:val="bottom"/>
          </w:tcPr>
          <w:p>
            <w:pPr>
              <w:spacing w:after="0"/>
              <w:wordWrap w:val="1"/>
              <w:jc w:val="both"/>
            </w:pPr>
            <w:r>
              <w:rPr>
                <w:rFonts w:ascii="Times New Roman" w:hAnsi="Times New Roman"/>
                <w:sz w:val="24"/>
                <w:szCs w:val="24"/>
              </w:rPr>
              <w:t>3.   Пакет MS Office</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jc w:val="both"/>
            </w:pPr>
            <w:r>
              <w:rPr>
                <w:rFonts w:ascii="Times New Roman" w:hAnsi="Times New Roman"/>
                <w:sz w:val="24"/>
                <w:szCs w:val="24"/>
              </w:rPr>
              <w:t xml:space="preserve">     Всё программное обеспечение имеет лицензию и своевременно и/или ежегодно обновляется.</w:t>
            </w:r>
          </w:p>
        </w:tc>
      </w:tr>
      <w:p>
        <w:r>
          <w:br w:type="page"/>
        </w:r>
      </w:p>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10875" w:type="dxa"/>
            <w:gridSpan w:val="52"/>
            <w:shd w:val="clear" w:color="auto" w:fill="auto"/>
            <w:textDirection w:val="lrTb"/>
            <w:vAlign w:val="bottom"/>
          </w:tcPr>
          <w:p>
            <w:pPr>
              <w:spacing w:after="0"/>
              <w:wordWrap w:val="1"/>
              <w:jc w:val="center"/>
            </w:pPr>
            <w:r>
              <w:rPr>
                <w:rFonts w:ascii="Times New Roman" w:hAnsi="Times New Roman"/>
                <w:b/>
                <w:sz w:val="24"/>
                <w:szCs w:val="24"/>
              </w:rPr>
              <w:t>11.Материально-техническая база, необходимая для осуществления образовательного процесса  по дисциплине (модулю)</w:t>
            </w:r>
          </w:p>
        </w:tc>
      </w:tr>
      <w:tr>
        <w:trPr>
          <w:cantSplit/>
          <w:trHeight w:val="0" w:hRule="auto"/>
        </w:trPr>
        <w:tc>
          <w:tcPr>
            <w:tcW w:w="3315" w:type="dxa"/>
            <w:gridSpan w:val="11"/>
            <w:shd w:val="clear" w:color="auto" w:fill="auto"/>
            <w:textDirection w:val="lrTb"/>
            <w:vAlign w:val="bottom"/>
          </w:tcPr>
          <w:p>
            <w:pPr>
              <w:spacing w:after="0"/>
              <w:jc w:val="left"/>
            </w:pPr>
          </w:p>
        </w:tc>
        <w:tc>
          <w:tcPr>
            <w:tcW w:w="2715" w:type="dxa"/>
            <w:gridSpan w:val="13"/>
            <w:shd w:val="clear" w:color="auto" w:fill="auto"/>
            <w:textDirection w:val="lrTb"/>
            <w:vAlign w:val="bottom"/>
          </w:tcPr>
          <w:p>
            <w:pPr>
              <w:spacing w:after="0"/>
              <w:jc w:val="left"/>
            </w:pPr>
          </w:p>
        </w:tc>
        <w:tc>
          <w:tcPr>
            <w:tcW w:w="1125" w:type="dxa"/>
            <w:gridSpan w:val="9"/>
            <w:shd w:val="clear" w:color="auto" w:fill="auto"/>
            <w:textDirection w:val="lrTb"/>
            <w:vAlign w:val="bottom"/>
          </w:tcPr>
          <w:p>
            <w:pPr>
              <w:spacing w:after="0"/>
              <w:jc w:val="left"/>
            </w:pPr>
          </w:p>
        </w:tc>
        <w:tc>
          <w:tcPr>
            <w:tcW w:w="1305" w:type="dxa"/>
            <w:gridSpan w:val="8"/>
            <w:shd w:val="clear" w:color="auto" w:fill="auto"/>
            <w:textDirection w:val="lrTb"/>
            <w:vAlign w:val="bottom"/>
          </w:tcPr>
          <w:p>
            <w:pPr>
              <w:spacing w:after="0"/>
              <w:jc w:val="left"/>
            </w:pPr>
          </w:p>
        </w:tc>
        <w:tc>
          <w:tcPr>
            <w:tcW w:w="1455" w:type="dxa"/>
            <w:gridSpan w:val="6"/>
            <w:shd w:val="clear" w:color="auto" w:fill="auto"/>
            <w:textDirection w:val="lrTb"/>
            <w:vAlign w:val="bottom"/>
          </w:tcPr>
          <w:p>
            <w:pPr>
              <w:spacing w:after="0"/>
              <w:jc w:val="left"/>
            </w:pPr>
          </w:p>
        </w:tc>
        <w:tc>
          <w:tcPr>
            <w:tcW w:w="960" w:type="dxa"/>
            <w:gridSpan w:val="5"/>
            <w:shd w:val="clear" w:color="auto" w:fill="auto"/>
            <w:textDirection w:val="lrTb"/>
            <w:vAlign w:val="bottom"/>
          </w:tcPr>
          <w:p>
            <w:pPr>
              <w:spacing w:after="0"/>
              <w:jc w:val="left"/>
            </w:pP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1. Учебная аудитория для занятий семинарского типа №1.  2-й этаж2. Учебная аудитория для занятий семинарского типа №2.  2-й этаж</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420127, Республика Татарстан, г. Казань, ул. Максимова, д. 34/24</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стол, стул для преподавателя, доскаучебно-методические материалы; фонендоскопы; тонометры.Моноблок (компьютер) НР 20-b101er 20''  Ноутбук LENOVO IdeaPad 310-15ISK 15,6"</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420127, Республика Татарстан, г. Казань, ул. Максимова, д. 34/24</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Office Professional Plus 2010  62326267  20.08.2013Office Professional Plus 2016  68214853 30.03.2017Kaspersky Endpoint Security 17ЕО-180313-063210-960-1591 с 13.03.2018 по 21.03.2019</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420127, Республика Татарстан, г. Казань, ул. Максимова, д. 34/24</w:t>
            </w: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1. Учебная аудитория для занятий семинарского типа - учебная аудитория №1. 4-й этаж2. Учебная аудитория для занятий семинарского типа - учебная аудитория №2. 3-й этаж3. Учебная аудитория для занятий семинарского типа - учебная аудитория №3. цокольный этаж</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420033, Республика Татарстан, г. Казань, ул. Музыкальная, д. 13</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стол, стул для преподавателя, доскаучебно-методические материалы; фонендоскопы; тонометры.Компьютер c монитором Acer</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420033, Республика Татарстан, г. Казань, ул. Музыкальная, д. 13</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Office Professional Plus 2010    61601653   10.02.2013Dr Web  6E5F-4RSK-BV4W-N5T1  с 10.12.2016 по 21.10.2020</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420033, Республика Татарстан, г. Казань, ул. Музыкальная, д. 13</w:t>
            </w: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Учебные аудитории для занятий семинарского типа №№1,2,4,7,9,11,12,13,14,15(по межкафедральному графику).Учебная аудитория для занятий лекционного типа (конференц-зал ГАУЗ ГКБ №7)</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420137, Республика Татарстан, г. Казань, ул. Чуйкова, д. 54</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стол, стул для преподавателя, доскаНоутбук ASUS VivoBook F402WAGA072T (90NB0HC3-M02650) 14"  Ноутбук DELL Inspiron 3567 (3567-7836) 15.6" Intel Core i3 6006U Ноутбук Lenovo IdeaPad G580 15.6''</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420137, Республика Татарстан, г. Казань, ул. Чуйкова, д. 54</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Office Standard  2016   69532601  03.05.2018Office Professional Plus 2010  62326267  20.08.2013Kaspersky Endpoint Security 17ЕО-180313-063210-960-1591 с 13.03.2018 по 21.03.2019</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420137, Республика Татарстан, г. Казань, ул. Чуйкова, д. 54</w:t>
            </w: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Учебная аудитория для проведения занятий лекционного типа №1</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стол, стул для преподавателя, доска,Проектор PanasonicPT-VX425NE,Ноутбук LenovoIdeaPad G550</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Windows 10 PRO лицензия № 68397923 от 31.05.2017Office Professional Plus 2016 лицензия № 68397923 от 31.05.2017</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Учебная аудитория для проведения занятий лекционного типа № 2</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стол, стул для преподавателя, доска,Проектор PanasonicPT-VX425NE, Ноутбук LenovoG5030,</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Windows 8.1 Profлицензия №65152416 от 05.03.2015,OfficeStd 2013 лицензия №65152416 от 05.03.2015</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Учебная аудитория для проведения занятий лекционного типа №3</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стол, стул для преподавателя, доска,Проектор NFSP501X, Ноутбук HP 250</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Windows 10 PRO лицензия №68397923 от 31.05.2017, Office Professional Plus 2016 лицензия № 68397923 от 31.05.2017</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420015, Республика Татарстан, г. Казань, ул. Толстого, д. 6/30</w:t>
            </w:r>
          </w:p>
        </w:tc>
      </w:tr>
      <w:tr>
        <w:trPr>
          <w:cantSplit/>
          <w:trHeight w:val="0" w:hRule="auto"/>
        </w:trPr>
        <w:tc>
          <w:tcPr>
            <w:tcW w:w="33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top w:val="single" w:sz="5" w:space="0" w:color="auto"/>
              <w:left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помещение для самостоятельной работы к.202, 204 - читальный зал открытого доступа</w:t>
            </w:r>
          </w:p>
        </w:tc>
        <w:tc>
          <w:tcPr>
            <w:tcW w:w="2415" w:type="dxa"/>
            <w:gridSpan w:val="11"/>
            <w:vMerge w:val="restart"/>
            <w:tcBorders>
              <w:top w:val="single" w:sz="5" w:space="0" w:color="auto"/>
              <w:left w:val="single" w:sz="5" w:space="0" w:color="auto"/>
              <w:bottom w:val="single" w:sz="5" w:space="0" w:color="auto"/>
              <w:right w:val="single" w:sz="5" w:space="0" w:color="auto"/>
            </w:tcBorders>
            <w:shd w:val="clear" w:color="auto" w:fill="auto"/>
            <w:textDirection w:val="lrTb"/>
            <w:vAlign w:val="top"/>
          </w:tcPr>
          <w:p>
            <w:pPr>
              <w:spacing w:after="0"/>
              <w:wordWrap w:val="1"/>
              <w:jc w:val="both"/>
            </w:pPr>
            <w:r>
              <w:rPr>
                <w:rFonts w:ascii="Times New Roman" w:hAnsi="Times New Roman"/>
                <w:sz w:val="24"/>
                <w:szCs w:val="24"/>
              </w:rPr>
              <w:t>420012, Республика Татарстан, г. Казань, ул. Бутлерова, д. 49</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left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Столы, стулья для обучающихся; компьютеры</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420012, Республика Татарстан, г. Казань, ул. Бутлерова, д. 49</w:t>
            </w:r>
          </w:p>
        </w:tc>
      </w:tr>
      <w:tr>
        <w:trPr>
          <w:cantSplit/>
          <w:trHeight w:val="0" w:hRule="auto"/>
        </w:trPr>
        <w:tc>
          <w:tcPr>
            <w:tcW w:w="33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Пропедевтика внутренних болезней</w:t>
            </w:r>
          </w:p>
        </w:tc>
        <w:tc>
          <w:tcPr>
            <w:tcW w:w="5145" w:type="dxa"/>
            <w:gridSpan w:val="30"/>
            <w:tcBorders>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Windows 10 PRO лицензия №68214852 от 16.03.2017, Office Professional Plus 2016 лицензия №68214852 от 16.03.2017, DrWeb 6 ES лицензия №6E5F-4RSK-BV4W-N5T1 срок использования с 10.12.2016 по 21.10.2020</w:t>
            </w:r>
          </w:p>
        </w:tc>
        <w:tc>
          <w:tcPr>
            <w:tcW w:w="2415" w:type="dxa"/>
            <w:gridSpan w:val="11"/>
            <w:vMerge w:val="continue"/>
            <w:tcBorders>
              <w:top w:val="single" w:sz="5" w:space="0" w:color="auto"/>
              <w:left w:val="single" w:sz="5" w:space="0" w:color="auto"/>
              <w:bottom w:val="single" w:sz="5" w:space="0" w:color="auto"/>
              <w:right w:val="single" w:sz="5" w:space="0" w:color="auto"/>
            </w:tcBorders>
            <w:shd w:val="clear" w:color="auto" w:fill="auto"/>
            <w:textDirection w:val="lrTb"/>
            <w:vAlign w:val="bottom"/>
          </w:tcPr>
          <w:p>
            <w:pPr>
              <w:spacing w:after="0"/>
              <w:wordWrap w:val="1"/>
              <w:jc w:val="both"/>
            </w:pPr>
            <w:r>
              <w:rPr>
                <w:rFonts w:ascii="Times New Roman" w:hAnsi="Times New Roman"/>
                <w:sz w:val="24"/>
                <w:szCs w:val="24"/>
              </w:rPr>
              <w:t>420012, Республика Татарстан, г. Казань, ул. Бутлерова, д. 49</w:t>
            </w:r>
          </w:p>
        </w:tc>
      </w:tr>
    </w:tbl>
    <w:sectPr>
      <w:footerReference w:type="default" r:id="rId9"/>
      <w:footerReference w:type="first" r:id="rId11"/>
      <w:pgSz w:w="11907" w:h="16839" w:orient="portrait"/>
      <w:pgMar w:top="567" w:right="567" w:bottom="567" w:left="567"/>
      <w:titlePg/>
    </w:sectPr>
  </w:body>
</w:document>
</file>

<file path=word/footer1.xml><?xml version="1.0" encoding="utf-8"?>
<w:ftr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sdt>
    <w:sdtPr>
      <w:docPartObj>
        <w:docPartGallery w:val="Page Numbers (Top of Page)"/>
      </w:docPartObj>
    </w:sdtPr>
    <w:sdtContent>
      <w:p>
        <w:pPr>
          <w:pStyle w:val="a4"/>
        </w:pPr>
        <w:r>
          <w:ptab w:alignment="right" w:relativeTo="margin" w:leader="none"/>
        </w:r>
        <w:r>
          <w:rPr>
            <w:color w:val="000000"/>
            <w:rFonts w:ascii="Times New Roman" w:hAnsi="Times New Roman"/>
            <w:sz w:val="24"/>
          </w:rPr>
          <w:r>
            <w:rPr>
              <w:rFonts w:ascii="Times New Roman" w:hAnsi="Times New Roman"/>
              <w:sz w:val="24"/>
              <w:fldChar w:fldCharType="begin"/>
            </w:rPr>
          </w:r>
          <w:r>
            <w:rPr>
              <w:rFonts w:ascii="Times New Roman" w:hAnsi="Times New Roman"/>
              <w:sz w:val="24"/>
              <w:instrText> PAGE   \* MERGEFORMAT </w:instrText>
            </w:rPr>
          </w:r>
          <w:r>
            <w:rPr>
              <w:rFonts w:ascii="Times New Roman" w:hAnsi="Times New Roman"/>
              <w:sz w:val="24"/>
              <w:fldChar w:fldCharType="separate"/>
            </w:rPr>
          </w:r>
          <w:r>
            <w:rPr>
              <w:rFonts w:ascii="Times New Roman" w:hAnsi="Times New Roman"/>
              <w:sz w:val="24"/>
              <w:fldChar w:fldCharType="end"/>
            </w:rPr>
          </w:r>
        </w:r>
      </w:p>
    </w:sdtContent>
  </w:sdt>
  <w:p>
    <w:pPr>
      <w:pStyle w:val="a4"/>
    </w:pPr>
  </w:p>
</w:ftr>
</file>

<file path=word/footer2.xml><?xml version="1.0" encoding="utf-8"?>
<w:ftr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sdt>
    <w:sdtPr>
      <w:docPartObj>
        <w:docPartGallery w:val="Page Numbers (Top of Page)"/>
      </w:docPartObj>
    </w:sdtPr>
  </w:sdt>
  <w:p>
    <w:pPr>
      <w:pStyle w:val="a4"/>
    </w:pPr>
  </w:p>
</w:ftr>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 w:type="table" w:styleId="TableStyle1">
    <w:name w:val="TableStyle1"/>
    <w:pPr>
      <w:spacing w:after="0" w:line="240" w:lineRule="auto"/>
    </w:pPr>
    <w:rPr>
      <w:rFonts w:ascii="Arial" w:hAnsi="Arial"/>
      <w:sz w:val="16"/>
    </w:rPr>
  </w:style>
  <w:style w:type="table" w:styleId="TableStyle2">
    <w:name w:val="TableStyle2"/>
    <w:pPr>
      <w:spacing w:after="0" w:line="240" w:lineRule="auto"/>
    </w:pPr>
    <w:rPr>
      <w:rFonts w:ascii="Arial" w:hAnsi="Arial"/>
      <w:sz w:val="16"/>
    </w:rPr>
  </w:style>
  <w:style w:type="table" w:styleId="TableStyle3">
    <w:name w:val="TableStyle3"/>
    <w:pPr>
      <w:spacing w:after="0" w:line="240" w:lineRule="auto"/>
    </w:pPr>
    <w:rPr>
      <w:rFonts w:ascii="Arial" w:hAnsi="Arial"/>
      <w:sz w:val="16"/>
    </w:rPr>
  </w:style>
  <w:style w:type="table" w:styleId="TableStyle4">
    <w:name w:val="TableStyle4"/>
    <w:pPr>
      <w:spacing w:after="0" w:line="240" w:lineRule="auto"/>
    </w:pPr>
    <w:rPr>
      <w:rFonts w:ascii="Arial" w:hAnsi="Arial"/>
      <w:sz w:val="16"/>
    </w:rPr>
  </w:style>
  <w:style w:type="table" w:styleId="TableStyle5">
    <w:name w:val="TableStyle5"/>
    <w:pPr>
      <w:spacing w:after="0" w:line="240" w:lineRule="auto"/>
    </w:pPr>
    <w:rPr>
      <w:rFonts w:ascii="Arial" w:hAnsi="Arial"/>
      <w:sz w:val="16"/>
    </w:rPr>
  </w:style>
  <w:style w:type="table" w:styleId="TableStyle6">
    <w:name w:val="TableStyle6"/>
    <w:pPr>
      <w:spacing w:after="0" w:line="240" w:lineRule="auto"/>
    </w:pPr>
    <w:rPr>
      <w:rFonts w:ascii="Arial" w:hAnsi="Arial"/>
      <w:sz w:val="16"/>
    </w:rPr>
  </w:style>
  <w:style w:type="table" w:styleId="TableStyle7">
    <w:name w:val="TableStyle7"/>
    <w:pPr>
      <w:spacing w:after="0" w:line="240" w:lineRule="auto"/>
    </w:pPr>
    <w:rPr>
      <w:rFonts w:ascii="Arial" w:hAnsi="Arial"/>
      <w:sz w:val="16"/>
    </w:rPr>
  </w:style>
  <w:style w:type="table" w:styleId="TableStyle8">
    <w:name w:val="TableStyle8"/>
    <w:pPr>
      <w:spacing w:after="0" w:line="240" w:lineRule="auto"/>
    </w:pPr>
    <w:rPr>
      <w:rFonts w:ascii="Arial" w:hAnsi="Arial"/>
      <w:sz w:val="16"/>
    </w:rPr>
  </w:style>
  <w:style w:type="table" w:styleId="TableStyle9">
    <w:name w:val="TableStyle9"/>
    <w:pPr>
      <w:spacing w:after="0" w:line="240" w:lineRule="auto"/>
    </w:pPr>
    <w:rPr>
      <w:rFonts w:ascii="Arial" w:hAnsi="Arial"/>
      <w:sz w:val="16"/>
    </w:rPr>
  </w:style>
  <w:style w:type="table" w:styleId="TableStyle10">
    <w:name w:val="TableStyle10"/>
    <w:pPr>
      <w:spacing w:after="0" w:line="240" w:lineRule="auto"/>
    </w:pPr>
    <w:rPr>
      <w:rFonts w:ascii="Arial" w:hAnsi="Arial"/>
      <w:sz w:val="16"/>
    </w:rPr>
  </w:style>
  <w:style w:type="table" w:styleId="TableStyle11">
    <w:name w:val="TableStyle11"/>
    <w:pPr>
      <w:spacing w:after="0" w:line="240" w:lineRule="auto"/>
    </w:pPr>
    <w:rPr>
      <w:rFonts w:ascii="Arial" w:hAnsi="Arial"/>
      <w:sz w:val="16"/>
    </w:rPr>
  </w:style>
  <w:style w:type="table" w:styleId="TableStyle12">
    <w:name w:val="TableStyle12"/>
    <w:pPr>
      <w:spacing w:after="0" w:line="240" w:lineRule="auto"/>
    </w:pPr>
    <w:rPr>
      <w:rFonts w:ascii="Arial" w:hAnsi="Arial"/>
      <w:sz w:val="16"/>
    </w:rPr>
  </w:style>
  <w:style w:type="table" w:styleId="TableStyle13">
    <w:name w:val="TableStyle13"/>
    <w:pPr>
      <w:spacing w:after="0" w:line="240" w:lineRule="auto"/>
    </w:pPr>
    <w:rPr>
      <w:rFonts w:ascii="Arial" w:hAnsi="Arial"/>
      <w:sz w:val="16"/>
    </w:rPr>
  </w:style>
  <w:style w:type="table" w:styleId="TableStyle14">
    <w:name w:val="TableStyle14"/>
    <w:pPr>
      <w:spacing w:after="0" w:line="240" w:lineRule="auto"/>
    </w:pPr>
    <w:rPr>
      <w:rFonts w:ascii="Arial" w:hAnsi="Arial"/>
      <w:sz w:val="16"/>
    </w:rPr>
  </w:style>
  <w:style w:type="table" w:styleId="TableStyle15">
    <w:name w:val="TableStyle15"/>
    <w:pPr>
      <w:spacing w:after="0" w:line="240" w:lineRule="auto"/>
    </w:pPr>
    <w:rPr>
      <w:rFonts w:ascii="Arial" w:hAnsi="Arial"/>
      <w:sz w:val="16"/>
    </w:rPr>
  </w:style>
  <w:style w:type="table" w:styleId="TableStyle16">
    <w:name w:val="TableStyle16"/>
    <w:pPr>
      <w:spacing w:after="0" w:line="240" w:lineRule="auto"/>
    </w:pPr>
    <w:rPr>
      <w:rFonts w:ascii="Arial" w:hAnsi="Arial"/>
      <w:sz w:val="16"/>
    </w:rPr>
  </w:style>
  <w:style w:type="table" w:styleId="TableStyle17">
    <w:name w:val="TableStyle17"/>
    <w:pPr>
      <w:spacing w:after="0" w:line="240" w:lineRule="auto"/>
    </w:pPr>
    <w:rPr>
      <w:rFonts w:ascii="Arial" w:hAnsi="Arial"/>
      <w:sz w:val="16"/>
    </w:rPr>
  </w:style>
  <w:style w:type="table" w:styleId="TableStyle18">
    <w:name w:val="TableStyle18"/>
    <w:pPr>
      <w:spacing w:after="0" w:line="240" w:lineRule="auto"/>
    </w:pPr>
    <w:rPr>
      <w:rFonts w:ascii="Arial" w:hAnsi="Arial"/>
      <w:sz w:val="16"/>
    </w:rPr>
  </w:style>
  <w:style w:type="table" w:styleId="TableStyle19">
    <w:name w:val="TableStyle19"/>
    <w:pPr>
      <w:spacing w:after="0" w:line="240" w:lineRule="auto"/>
    </w:pPr>
    <w:rPr>
      <w:rFonts w:ascii="Arial" w:hAnsi="Arial"/>
      <w:sz w:val="16"/>
    </w:rPr>
  </w:style>
  <w:style w:type="table" w:styleId="TableStyle20">
    <w:name w:val="TableStyle20"/>
    <w:pPr>
      <w:spacing w:after="0" w:line="240" w:lineRule="auto"/>
    </w:pPr>
    <w:rPr>
      <w:rFonts w:ascii="Arial" w:hAnsi="Arial"/>
      <w:sz w:val="16"/>
    </w:rPr>
  </w:style>
  <w:style w:type="table" w:styleId="TableStyle21">
    <w:name w:val="TableStyle21"/>
    <w:pPr>
      <w:spacing w:after="0" w:line="240" w:lineRule="auto"/>
    </w:pPr>
    <w:rPr>
      <w:rFonts w:ascii="Arial" w:hAnsi="Arial"/>
      <w:sz w:val="16"/>
    </w:rPr>
  </w:style>
  <w:style w:type="table" w:styleId="TableStyle22">
    <w:name w:val="TableStyle22"/>
    <w:pPr>
      <w:spacing w:after="0" w:line="240" w:lineRule="auto"/>
    </w:pPr>
    <w:rPr>
      <w:rFonts w:ascii="Arial" w:hAnsi="Arial"/>
      <w:sz w:val="16"/>
    </w:rPr>
  </w:style>
  <w:style w:type="table" w:styleId="TableStyle23">
    <w:name w:val="TableStyle23"/>
    <w:pPr>
      <w:spacing w:after="0" w:line="240" w:lineRule="auto"/>
    </w:pPr>
    <w:rPr>
      <w:rFonts w:ascii="Arial" w:hAnsi="Arial"/>
      <w:sz w:val="16"/>
    </w:rPr>
  </w:style>
  <w:style w:type="table" w:styleId="TableStyle24">
    <w:name w:val="TableStyle24"/>
    <w:pPr>
      <w:spacing w:after="0" w:line="240" w:lineRule="auto"/>
    </w:pPr>
    <w:rPr>
      <w:rFonts w:ascii="Arial" w:hAnsi="Arial"/>
      <w:sz w:val="16"/>
    </w:rPr>
  </w:style>
  <w:style w:type="table" w:styleId="TableStyle25">
    <w:name w:val="TableStyle25"/>
    <w:pPr>
      <w:spacing w:after="0" w:line="240" w:lineRule="auto"/>
    </w:pPr>
    <w:rPr>
      <w:rFonts w:ascii="Arial" w:hAnsi="Arial"/>
      <w:sz w:val="16"/>
    </w:rPr>
  </w:style>
  <w:style w:type="table" w:styleId="TableStyle26">
    <w:name w:val="TableStyle26"/>
    <w:pPr>
      <w:spacing w:after="0" w:line="240" w:lineRule="auto"/>
    </w:pPr>
    <w:rPr>
      <w:rFonts w:ascii="Arial" w:hAnsi="Arial"/>
      <w:sz w:val="16"/>
    </w:rPr>
  </w:style>
  <w:style w:type="table" w:styleId="TableStyle27">
    <w:name w:val="TableStyle27"/>
    <w:pPr>
      <w:spacing w:after="0" w:line="240" w:lineRule="auto"/>
    </w:pPr>
    <w:rPr>
      <w:rFonts w:ascii="Arial" w:hAnsi="Arial"/>
      <w:sz w:val="16"/>
    </w:rPr>
  </w:style>
  <w:style w:type="paragraph" w:styleId="rId9">
    <w:name w:val="footer"/>
  </w:style>
  <w:style w:type="paragraph" w:styleId="rId11">
    <w:name w:val="foote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